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7A" w:rsidRPr="00455931" w:rsidRDefault="00745D7A" w:rsidP="00745D7A">
      <w:pPr>
        <w:pStyle w:val="Title"/>
        <w:rPr>
          <w:rFonts w:ascii="Arial" w:hAnsi="Arial" w:cs="Arial"/>
          <w:color w:val="auto"/>
          <w:sz w:val="18"/>
          <w:szCs w:val="28"/>
        </w:rPr>
      </w:pPr>
      <w:r w:rsidRPr="00455931">
        <w:rPr>
          <w:rFonts w:ascii="Arial" w:hAnsi="Arial" w:cs="Arial"/>
          <w:color w:val="auto"/>
          <w:sz w:val="40"/>
          <w:szCs w:val="28"/>
        </w:rPr>
        <w:t>Frequently Asked Questions:</w:t>
      </w:r>
      <w:r w:rsidRPr="00455931">
        <w:rPr>
          <w:rFonts w:ascii="Arial" w:hAnsi="Arial" w:cs="Arial"/>
          <w:color w:val="auto"/>
          <w:sz w:val="18"/>
          <w:szCs w:val="28"/>
        </w:rPr>
        <w:t xml:space="preserve"> </w:t>
      </w:r>
    </w:p>
    <w:p w:rsidR="000E7F93" w:rsidRPr="00455931" w:rsidRDefault="000E7F93" w:rsidP="00745D7A">
      <w:pPr>
        <w:pStyle w:val="Title"/>
        <w:rPr>
          <w:rFonts w:ascii="Arial" w:hAnsi="Arial" w:cs="Arial"/>
          <w:color w:val="auto"/>
          <w:sz w:val="40"/>
          <w:szCs w:val="28"/>
        </w:rPr>
      </w:pPr>
      <w:r w:rsidRPr="00455931">
        <w:rPr>
          <w:rFonts w:ascii="Arial" w:hAnsi="Arial" w:cs="Arial"/>
          <w:color w:val="auto"/>
          <w:sz w:val="40"/>
        </w:rPr>
        <w:t>The Accessibility for Manitobans Act</w:t>
      </w:r>
    </w:p>
    <w:p w:rsidR="000E7F93" w:rsidRPr="00455931" w:rsidRDefault="000E7F93" w:rsidP="00745D7A">
      <w:pPr>
        <w:pStyle w:val="Heading1"/>
        <w:numPr>
          <w:ilvl w:val="0"/>
          <w:numId w:val="7"/>
        </w:numPr>
        <w:ind w:left="567" w:hanging="567"/>
        <w:rPr>
          <w:rFonts w:ascii="Arial" w:hAnsi="Arial" w:cs="Arial"/>
          <w:color w:val="auto"/>
        </w:rPr>
      </w:pPr>
      <w:r w:rsidRPr="00455931">
        <w:rPr>
          <w:rFonts w:ascii="Arial" w:hAnsi="Arial" w:cs="Arial"/>
          <w:color w:val="auto"/>
        </w:rPr>
        <w:t>Why do we need accessibility legislation?</w:t>
      </w:r>
    </w:p>
    <w:p w:rsidR="000E7F93" w:rsidRPr="00455931" w:rsidRDefault="000E7F93" w:rsidP="004158FE">
      <w:pPr>
        <w:pStyle w:val="ListParagraph"/>
        <w:spacing w:after="0" w:line="240" w:lineRule="auto"/>
        <w:ind w:left="0"/>
        <w:rPr>
          <w:rFonts w:ascii="Arial" w:hAnsi="Arial" w:cs="Arial"/>
          <w:color w:val="000000" w:themeColor="text1"/>
          <w:sz w:val="28"/>
          <w:szCs w:val="28"/>
        </w:rPr>
      </w:pPr>
      <w:r w:rsidRPr="00455931">
        <w:rPr>
          <w:rFonts w:ascii="Arial" w:hAnsi="Arial" w:cs="Arial"/>
          <w:color w:val="000000" w:themeColor="text1"/>
          <w:sz w:val="28"/>
          <w:szCs w:val="28"/>
        </w:rPr>
        <w:t xml:space="preserve">Improving accessibility is the right thing to do.  It is also the smart thing to do.  Nearly every Manitoban has a disability, knows someone with a disability or will have a disability in the coming years. According to Statistics Canada, nearly one in six Manitobans had a disability. This number will grow as our population ages. </w:t>
      </w:r>
    </w:p>
    <w:p w:rsidR="000E7F93" w:rsidRPr="00455931" w:rsidRDefault="000E7F93" w:rsidP="00745D7A">
      <w:pPr>
        <w:pStyle w:val="Heading1"/>
        <w:numPr>
          <w:ilvl w:val="0"/>
          <w:numId w:val="7"/>
        </w:numPr>
        <w:ind w:left="567" w:hanging="567"/>
        <w:rPr>
          <w:rFonts w:ascii="Arial" w:hAnsi="Arial" w:cs="Arial"/>
          <w:color w:val="auto"/>
        </w:rPr>
      </w:pPr>
      <w:r w:rsidRPr="00455931">
        <w:rPr>
          <w:rFonts w:ascii="Arial" w:hAnsi="Arial" w:cs="Arial"/>
          <w:color w:val="auto"/>
        </w:rPr>
        <w:t>What are accessibility barriers?</w:t>
      </w:r>
    </w:p>
    <w:p w:rsidR="000E7F93" w:rsidRPr="00455931" w:rsidRDefault="000E7F93" w:rsidP="004158FE">
      <w:pPr>
        <w:spacing w:after="0" w:line="240" w:lineRule="auto"/>
        <w:rPr>
          <w:rFonts w:ascii="Arial" w:hAnsi="Arial" w:cs="Arial"/>
          <w:color w:val="000000" w:themeColor="text1"/>
          <w:sz w:val="28"/>
          <w:szCs w:val="28"/>
        </w:rPr>
      </w:pPr>
      <w:r w:rsidRPr="00455931">
        <w:rPr>
          <w:rFonts w:ascii="Arial" w:hAnsi="Arial" w:cs="Arial"/>
          <w:color w:val="000000" w:themeColor="text1"/>
          <w:sz w:val="28"/>
          <w:szCs w:val="28"/>
        </w:rPr>
        <w:t xml:space="preserve">An accessibility barrier is anything that limits or prevents a person from receiving information, services and goods, or accessing a space, or participating in an activity.  Barriers disable individuals from doing many of the things other people take for granted. Barriers arise when there is no planning and no understanding of how they affect the daily of lives of many people. </w:t>
      </w:r>
    </w:p>
    <w:p w:rsidR="00371E73" w:rsidRPr="00455931" w:rsidRDefault="000E7F93" w:rsidP="004158FE">
      <w:pPr>
        <w:spacing w:after="0" w:line="240" w:lineRule="auto"/>
        <w:rPr>
          <w:rFonts w:ascii="Arial" w:hAnsi="Arial" w:cs="Arial"/>
          <w:color w:val="000000" w:themeColor="text1"/>
          <w:sz w:val="28"/>
          <w:szCs w:val="28"/>
        </w:rPr>
      </w:pPr>
      <w:r w:rsidRPr="00455931">
        <w:rPr>
          <w:rFonts w:ascii="Arial" w:hAnsi="Arial" w:cs="Arial"/>
          <w:color w:val="000000" w:themeColor="text1"/>
          <w:sz w:val="28"/>
          <w:szCs w:val="28"/>
        </w:rPr>
        <w:t>Barriers may be:</w:t>
      </w:r>
    </w:p>
    <w:p w:rsidR="000E7F93" w:rsidRPr="00455931" w:rsidRDefault="000E7F93" w:rsidP="001905A0">
      <w:pPr>
        <w:pStyle w:val="ListParagraph"/>
        <w:numPr>
          <w:ilvl w:val="1"/>
          <w:numId w:val="6"/>
        </w:numPr>
        <w:spacing w:after="0" w:line="240" w:lineRule="auto"/>
        <w:rPr>
          <w:rFonts w:ascii="Arial" w:hAnsi="Arial" w:cs="Arial"/>
          <w:color w:val="000000" w:themeColor="text1"/>
          <w:sz w:val="28"/>
          <w:szCs w:val="28"/>
        </w:rPr>
      </w:pPr>
      <w:r w:rsidRPr="00455931">
        <w:rPr>
          <w:rFonts w:ascii="Arial" w:hAnsi="Arial" w:cs="Arial"/>
          <w:b/>
          <w:bCs/>
          <w:color w:val="000000" w:themeColor="text1"/>
          <w:sz w:val="28"/>
          <w:szCs w:val="28"/>
        </w:rPr>
        <w:t>structural</w:t>
      </w:r>
    </w:p>
    <w:p w:rsidR="000E7F93" w:rsidRPr="00455931" w:rsidRDefault="000E7F93" w:rsidP="001905A0">
      <w:pPr>
        <w:pStyle w:val="ListParagraph"/>
        <w:numPr>
          <w:ilvl w:val="1"/>
          <w:numId w:val="6"/>
        </w:numPr>
        <w:spacing w:after="0" w:line="240" w:lineRule="auto"/>
        <w:rPr>
          <w:rFonts w:ascii="Arial" w:hAnsi="Arial" w:cs="Arial"/>
          <w:color w:val="000000" w:themeColor="text1"/>
          <w:sz w:val="28"/>
          <w:szCs w:val="28"/>
        </w:rPr>
      </w:pPr>
      <w:r w:rsidRPr="00455931">
        <w:rPr>
          <w:rFonts w:ascii="Arial" w:hAnsi="Arial" w:cs="Arial"/>
          <w:b/>
          <w:bCs/>
          <w:color w:val="000000" w:themeColor="text1"/>
          <w:sz w:val="28"/>
          <w:szCs w:val="28"/>
        </w:rPr>
        <w:t>information and communication</w:t>
      </w:r>
    </w:p>
    <w:p w:rsidR="000E7F93" w:rsidRPr="00455931" w:rsidRDefault="000E7F93" w:rsidP="001905A0">
      <w:pPr>
        <w:pStyle w:val="ListParagraph"/>
        <w:numPr>
          <w:ilvl w:val="1"/>
          <w:numId w:val="6"/>
        </w:numPr>
        <w:spacing w:after="0" w:line="240" w:lineRule="auto"/>
        <w:rPr>
          <w:rFonts w:ascii="Arial" w:hAnsi="Arial" w:cs="Arial"/>
          <w:color w:val="000000" w:themeColor="text1"/>
          <w:sz w:val="28"/>
          <w:szCs w:val="28"/>
        </w:rPr>
      </w:pPr>
      <w:r w:rsidRPr="00455931">
        <w:rPr>
          <w:rFonts w:ascii="Arial" w:hAnsi="Arial" w:cs="Arial"/>
          <w:b/>
          <w:bCs/>
          <w:color w:val="000000" w:themeColor="text1"/>
          <w:sz w:val="28"/>
          <w:szCs w:val="28"/>
        </w:rPr>
        <w:t>new technology</w:t>
      </w:r>
    </w:p>
    <w:p w:rsidR="000E7F93" w:rsidRPr="00455931" w:rsidRDefault="000E7F93" w:rsidP="001905A0">
      <w:pPr>
        <w:pStyle w:val="ListParagraph"/>
        <w:numPr>
          <w:ilvl w:val="1"/>
          <w:numId w:val="6"/>
        </w:numPr>
        <w:spacing w:after="0" w:line="240" w:lineRule="auto"/>
        <w:rPr>
          <w:rFonts w:ascii="Arial" w:hAnsi="Arial" w:cs="Arial"/>
          <w:color w:val="000000" w:themeColor="text1"/>
          <w:sz w:val="28"/>
          <w:szCs w:val="28"/>
        </w:rPr>
      </w:pPr>
      <w:r w:rsidRPr="00455931">
        <w:rPr>
          <w:rFonts w:ascii="Arial" w:hAnsi="Arial" w:cs="Arial"/>
          <w:b/>
          <w:bCs/>
          <w:color w:val="000000" w:themeColor="text1"/>
          <w:sz w:val="28"/>
          <w:szCs w:val="28"/>
        </w:rPr>
        <w:t>policies and common practices</w:t>
      </w:r>
    </w:p>
    <w:p w:rsidR="000D3F09" w:rsidRPr="00455931" w:rsidRDefault="000E7F93" w:rsidP="00745D7A">
      <w:pPr>
        <w:pStyle w:val="ListParagraph"/>
        <w:numPr>
          <w:ilvl w:val="1"/>
          <w:numId w:val="6"/>
        </w:numPr>
        <w:spacing w:after="0" w:line="240" w:lineRule="auto"/>
        <w:rPr>
          <w:rFonts w:ascii="Arial" w:hAnsi="Arial" w:cs="Arial"/>
          <w:color w:val="000000" w:themeColor="text1"/>
          <w:sz w:val="28"/>
          <w:szCs w:val="28"/>
        </w:rPr>
      </w:pPr>
      <w:r w:rsidRPr="00455931">
        <w:rPr>
          <w:rFonts w:ascii="Arial" w:hAnsi="Arial" w:cs="Arial"/>
          <w:b/>
          <w:bCs/>
          <w:color w:val="000000" w:themeColor="text1"/>
          <w:sz w:val="28"/>
          <w:szCs w:val="28"/>
        </w:rPr>
        <w:t>Attitudes</w:t>
      </w:r>
      <w:r w:rsidRPr="00455931">
        <w:rPr>
          <w:rFonts w:ascii="Arial" w:hAnsi="Arial" w:cs="Arial"/>
          <w:color w:val="000000" w:themeColor="text1"/>
          <w:sz w:val="28"/>
          <w:szCs w:val="28"/>
        </w:rPr>
        <w:t xml:space="preserve"> - the greatest barrier of all</w:t>
      </w:r>
    </w:p>
    <w:p w:rsidR="000D3F09" w:rsidRPr="00455931" w:rsidRDefault="000D3F09" w:rsidP="00745D7A">
      <w:pPr>
        <w:pStyle w:val="Heading1"/>
        <w:numPr>
          <w:ilvl w:val="0"/>
          <w:numId w:val="7"/>
        </w:numPr>
        <w:ind w:left="567" w:hanging="567"/>
        <w:rPr>
          <w:rFonts w:ascii="Arial" w:hAnsi="Arial" w:cs="Arial"/>
          <w:color w:val="auto"/>
        </w:rPr>
      </w:pPr>
      <w:r w:rsidRPr="00455931">
        <w:rPr>
          <w:rFonts w:ascii="Arial" w:hAnsi="Arial" w:cs="Arial"/>
          <w:color w:val="auto"/>
        </w:rPr>
        <w:t xml:space="preserve">What are accessibility standards? </w:t>
      </w:r>
    </w:p>
    <w:p w:rsidR="000D3F09" w:rsidRPr="00455931" w:rsidRDefault="000D3F09" w:rsidP="004158FE">
      <w:pPr>
        <w:pStyle w:val="Pa4"/>
        <w:spacing w:line="240" w:lineRule="auto"/>
        <w:rPr>
          <w:rFonts w:ascii="Arial" w:hAnsi="Arial" w:cs="Arial"/>
          <w:color w:val="000000" w:themeColor="text1"/>
          <w:sz w:val="28"/>
          <w:szCs w:val="28"/>
        </w:rPr>
      </w:pPr>
      <w:r w:rsidRPr="00455931">
        <w:rPr>
          <w:rFonts w:ascii="Arial" w:hAnsi="Arial" w:cs="Arial"/>
          <w:color w:val="000000" w:themeColor="text1"/>
          <w:sz w:val="28"/>
          <w:szCs w:val="28"/>
        </w:rPr>
        <w:t xml:space="preserve">Accessibility standards set out what has to be done by when with specific and achievable goals.  They are often referred to as the building blocks of </w:t>
      </w:r>
      <w:r w:rsidRPr="00455931">
        <w:rPr>
          <w:rFonts w:ascii="Arial" w:hAnsi="Arial" w:cs="Arial"/>
          <w:i/>
          <w:color w:val="000000" w:themeColor="text1"/>
          <w:sz w:val="28"/>
          <w:szCs w:val="28"/>
        </w:rPr>
        <w:t>The Accessibility for Manitobans Act.</w:t>
      </w:r>
      <w:r w:rsidRPr="00455931">
        <w:rPr>
          <w:rFonts w:ascii="Arial" w:hAnsi="Arial" w:cs="Arial"/>
          <w:color w:val="000000" w:themeColor="text1"/>
          <w:sz w:val="28"/>
          <w:szCs w:val="28"/>
        </w:rPr>
        <w:t xml:space="preserve"> The standards address barriers and set out requirements in five key areas of daily living. </w:t>
      </w:r>
    </w:p>
    <w:p w:rsidR="000D3F09" w:rsidRPr="00455931" w:rsidRDefault="000D3F09" w:rsidP="001905A0">
      <w:pPr>
        <w:pStyle w:val="Pa6"/>
        <w:numPr>
          <w:ilvl w:val="0"/>
          <w:numId w:val="4"/>
        </w:numPr>
        <w:spacing w:line="240" w:lineRule="auto"/>
        <w:ind w:left="714" w:hanging="357"/>
        <w:rPr>
          <w:rFonts w:ascii="Arial" w:hAnsi="Arial" w:cs="Arial"/>
          <w:color w:val="000000" w:themeColor="text1"/>
          <w:sz w:val="28"/>
          <w:szCs w:val="28"/>
        </w:rPr>
      </w:pPr>
      <w:r w:rsidRPr="00455931">
        <w:rPr>
          <w:rFonts w:ascii="Arial" w:hAnsi="Arial" w:cs="Arial"/>
          <w:color w:val="000000" w:themeColor="text1"/>
          <w:sz w:val="28"/>
          <w:szCs w:val="28"/>
        </w:rPr>
        <w:t xml:space="preserve">Customer Service (passed in November 2015) </w:t>
      </w:r>
    </w:p>
    <w:p w:rsidR="001905A0" w:rsidRPr="00455931" w:rsidRDefault="001905A0" w:rsidP="001905A0">
      <w:pPr>
        <w:pStyle w:val="ListParagraph"/>
        <w:numPr>
          <w:ilvl w:val="0"/>
          <w:numId w:val="4"/>
        </w:numPr>
        <w:spacing w:after="0" w:line="240" w:lineRule="auto"/>
        <w:ind w:left="714" w:hanging="357"/>
        <w:rPr>
          <w:rFonts w:ascii="Arial" w:hAnsi="Arial" w:cs="Arial"/>
          <w:color w:val="000000" w:themeColor="text1"/>
          <w:sz w:val="28"/>
          <w:szCs w:val="28"/>
        </w:rPr>
      </w:pPr>
      <w:r w:rsidRPr="00455931">
        <w:rPr>
          <w:rFonts w:ascii="Arial" w:hAnsi="Arial" w:cs="Arial"/>
          <w:color w:val="000000" w:themeColor="text1"/>
          <w:sz w:val="28"/>
          <w:szCs w:val="28"/>
        </w:rPr>
        <w:t>Employment (under development)</w:t>
      </w:r>
    </w:p>
    <w:p w:rsidR="000D3F09" w:rsidRPr="00455931" w:rsidRDefault="000D3F09" w:rsidP="001905A0">
      <w:pPr>
        <w:pStyle w:val="ListParagraph"/>
        <w:numPr>
          <w:ilvl w:val="0"/>
          <w:numId w:val="4"/>
        </w:numPr>
        <w:spacing w:after="0" w:line="240" w:lineRule="auto"/>
        <w:ind w:left="714" w:hanging="357"/>
        <w:rPr>
          <w:rFonts w:ascii="Arial" w:hAnsi="Arial" w:cs="Arial"/>
          <w:color w:val="000000" w:themeColor="text1"/>
          <w:sz w:val="28"/>
          <w:szCs w:val="28"/>
        </w:rPr>
      </w:pPr>
      <w:r w:rsidRPr="00455931">
        <w:rPr>
          <w:rFonts w:ascii="Arial" w:hAnsi="Arial" w:cs="Arial"/>
          <w:color w:val="000000" w:themeColor="text1"/>
          <w:sz w:val="28"/>
          <w:szCs w:val="28"/>
        </w:rPr>
        <w:t xml:space="preserve">Information and Communication </w:t>
      </w:r>
    </w:p>
    <w:p w:rsidR="000D3F09" w:rsidRPr="00455931" w:rsidRDefault="000D3F09" w:rsidP="001905A0">
      <w:pPr>
        <w:pStyle w:val="Pa6"/>
        <w:numPr>
          <w:ilvl w:val="0"/>
          <w:numId w:val="4"/>
        </w:numPr>
        <w:spacing w:line="240" w:lineRule="auto"/>
        <w:ind w:left="714" w:hanging="357"/>
        <w:rPr>
          <w:rFonts w:ascii="Arial" w:hAnsi="Arial" w:cs="Arial"/>
          <w:color w:val="000000" w:themeColor="text1"/>
          <w:sz w:val="28"/>
          <w:szCs w:val="28"/>
        </w:rPr>
      </w:pPr>
      <w:r w:rsidRPr="00455931">
        <w:rPr>
          <w:rFonts w:ascii="Arial" w:hAnsi="Arial" w:cs="Arial"/>
          <w:color w:val="000000" w:themeColor="text1"/>
          <w:sz w:val="28"/>
          <w:szCs w:val="28"/>
        </w:rPr>
        <w:t>Transportation (sector specific)</w:t>
      </w:r>
    </w:p>
    <w:p w:rsidR="000D3F09" w:rsidRPr="00455931" w:rsidRDefault="000D3F09" w:rsidP="001905A0">
      <w:pPr>
        <w:pStyle w:val="Pa7"/>
        <w:numPr>
          <w:ilvl w:val="0"/>
          <w:numId w:val="4"/>
        </w:numPr>
        <w:spacing w:line="240" w:lineRule="auto"/>
        <w:ind w:left="714" w:hanging="357"/>
        <w:rPr>
          <w:rFonts w:ascii="Arial" w:hAnsi="Arial" w:cs="Arial"/>
          <w:color w:val="000000" w:themeColor="text1"/>
          <w:sz w:val="28"/>
          <w:szCs w:val="28"/>
        </w:rPr>
      </w:pPr>
      <w:r w:rsidRPr="00455931">
        <w:rPr>
          <w:rFonts w:ascii="Arial" w:hAnsi="Arial" w:cs="Arial"/>
          <w:color w:val="000000" w:themeColor="text1"/>
          <w:sz w:val="28"/>
          <w:szCs w:val="28"/>
        </w:rPr>
        <w:t>Built environment</w:t>
      </w:r>
    </w:p>
    <w:p w:rsidR="000D3F09" w:rsidRPr="00455931" w:rsidRDefault="000D3F09" w:rsidP="004158FE">
      <w:pPr>
        <w:pStyle w:val="Pa7"/>
        <w:spacing w:line="240" w:lineRule="auto"/>
        <w:rPr>
          <w:rFonts w:ascii="Arial" w:hAnsi="Arial" w:cs="Arial"/>
          <w:color w:val="000000" w:themeColor="text1"/>
          <w:sz w:val="28"/>
          <w:szCs w:val="28"/>
        </w:rPr>
      </w:pPr>
      <w:r w:rsidRPr="00455931">
        <w:rPr>
          <w:rFonts w:ascii="Arial" w:hAnsi="Arial" w:cs="Arial"/>
          <w:color w:val="000000" w:themeColor="text1"/>
          <w:sz w:val="28"/>
          <w:szCs w:val="28"/>
        </w:rPr>
        <w:t xml:space="preserve"> </w:t>
      </w:r>
    </w:p>
    <w:p w:rsidR="000D3F09" w:rsidRPr="00455931" w:rsidRDefault="000D3F09" w:rsidP="00745D7A">
      <w:pPr>
        <w:pStyle w:val="Heading1"/>
        <w:numPr>
          <w:ilvl w:val="0"/>
          <w:numId w:val="7"/>
        </w:numPr>
        <w:ind w:left="567" w:hanging="567"/>
        <w:rPr>
          <w:rFonts w:ascii="Arial" w:hAnsi="Arial" w:cs="Arial"/>
          <w:color w:val="auto"/>
        </w:rPr>
      </w:pPr>
      <w:r w:rsidRPr="00455931">
        <w:rPr>
          <w:rFonts w:ascii="Arial" w:hAnsi="Arial" w:cs="Arial"/>
          <w:color w:val="auto"/>
        </w:rPr>
        <w:lastRenderedPageBreak/>
        <w:t xml:space="preserve">When will accessibility standards be law? </w:t>
      </w:r>
    </w:p>
    <w:p w:rsidR="000D3F09" w:rsidRPr="00455931" w:rsidRDefault="000D3F09" w:rsidP="004158FE">
      <w:pPr>
        <w:pStyle w:val="Pa4"/>
        <w:spacing w:line="240" w:lineRule="auto"/>
        <w:rPr>
          <w:rFonts w:ascii="Arial" w:hAnsi="Arial" w:cs="Arial"/>
          <w:color w:val="000000" w:themeColor="text1"/>
          <w:sz w:val="28"/>
          <w:szCs w:val="28"/>
        </w:rPr>
      </w:pPr>
      <w:r w:rsidRPr="00455931">
        <w:rPr>
          <w:rFonts w:ascii="Arial" w:hAnsi="Arial" w:cs="Arial"/>
          <w:color w:val="000000" w:themeColor="text1"/>
          <w:sz w:val="28"/>
          <w:szCs w:val="28"/>
        </w:rPr>
        <w:t xml:space="preserve">Accessibility standards will be developed over the next number of years.  Each standard will set out a timeline, depending on the complexity of the area, and on the type and size of organization. </w:t>
      </w:r>
    </w:p>
    <w:p w:rsidR="004158FE" w:rsidRPr="00455931" w:rsidRDefault="004158FE" w:rsidP="004158FE">
      <w:pPr>
        <w:pStyle w:val="Pa4"/>
        <w:spacing w:line="240" w:lineRule="auto"/>
        <w:rPr>
          <w:rFonts w:ascii="Arial" w:hAnsi="Arial" w:cs="Arial"/>
          <w:color w:val="000000" w:themeColor="text1"/>
          <w:sz w:val="28"/>
          <w:szCs w:val="28"/>
        </w:rPr>
      </w:pPr>
    </w:p>
    <w:p w:rsidR="000D3F09" w:rsidRPr="00455931" w:rsidRDefault="000D3F09" w:rsidP="00745D7A">
      <w:pPr>
        <w:pStyle w:val="Pa4"/>
        <w:spacing w:line="240" w:lineRule="auto"/>
        <w:rPr>
          <w:rFonts w:ascii="Arial" w:hAnsi="Arial" w:cs="Arial"/>
          <w:color w:val="000000" w:themeColor="text1"/>
          <w:sz w:val="28"/>
          <w:szCs w:val="28"/>
        </w:rPr>
      </w:pPr>
      <w:r w:rsidRPr="00455931">
        <w:rPr>
          <w:rFonts w:ascii="Arial" w:hAnsi="Arial" w:cs="Arial"/>
          <w:color w:val="000000" w:themeColor="text1"/>
          <w:sz w:val="28"/>
          <w:szCs w:val="28"/>
        </w:rPr>
        <w:t xml:space="preserve">The Accessible Customer Service Standard became law in Manitoba on November 1, 2015. </w:t>
      </w:r>
    </w:p>
    <w:p w:rsidR="000E7F93" w:rsidRPr="00455931" w:rsidRDefault="000E7F93" w:rsidP="00745D7A">
      <w:pPr>
        <w:pStyle w:val="Heading1"/>
        <w:numPr>
          <w:ilvl w:val="0"/>
          <w:numId w:val="7"/>
        </w:numPr>
        <w:ind w:left="567" w:hanging="567"/>
        <w:rPr>
          <w:rFonts w:ascii="Arial" w:hAnsi="Arial" w:cs="Arial"/>
          <w:color w:val="auto"/>
        </w:rPr>
      </w:pPr>
      <w:r w:rsidRPr="00455931">
        <w:rPr>
          <w:rFonts w:ascii="Arial" w:hAnsi="Arial" w:cs="Arial"/>
          <w:color w:val="auto"/>
        </w:rPr>
        <w:t>Which businesses and organizations are affected by the legislation?</w:t>
      </w:r>
    </w:p>
    <w:p w:rsidR="000E7F93" w:rsidRPr="00455931" w:rsidRDefault="000E7F93" w:rsidP="004158FE">
      <w:pPr>
        <w:pStyle w:val="ListParagraph"/>
        <w:spacing w:after="0" w:line="240" w:lineRule="auto"/>
        <w:ind w:left="0"/>
        <w:rPr>
          <w:rFonts w:ascii="Arial" w:hAnsi="Arial" w:cs="Arial"/>
          <w:color w:val="000000" w:themeColor="text1"/>
          <w:sz w:val="28"/>
          <w:szCs w:val="28"/>
        </w:rPr>
      </w:pPr>
      <w:r w:rsidRPr="00455931">
        <w:rPr>
          <w:rFonts w:ascii="Arial" w:hAnsi="Arial" w:cs="Arial"/>
          <w:i/>
          <w:color w:val="000000" w:themeColor="text1"/>
          <w:sz w:val="28"/>
          <w:szCs w:val="28"/>
        </w:rPr>
        <w:t>The Accessibility for Manitobans Act</w:t>
      </w:r>
      <w:r w:rsidRPr="00455931">
        <w:rPr>
          <w:rFonts w:ascii="Arial" w:hAnsi="Arial" w:cs="Arial"/>
          <w:color w:val="000000" w:themeColor="text1"/>
          <w:sz w:val="28"/>
          <w:szCs w:val="28"/>
        </w:rPr>
        <w:t xml:space="preserve"> affects all organizations and businesses in Manitoba, which must comply with each standard as it becomes law.</w:t>
      </w:r>
    </w:p>
    <w:p w:rsidR="000E7F93" w:rsidRPr="00455931" w:rsidRDefault="000E7F93" w:rsidP="00745D7A">
      <w:pPr>
        <w:pStyle w:val="Heading1"/>
        <w:numPr>
          <w:ilvl w:val="0"/>
          <w:numId w:val="7"/>
        </w:numPr>
        <w:ind w:left="567" w:hanging="567"/>
        <w:rPr>
          <w:rFonts w:ascii="Arial" w:hAnsi="Arial" w:cs="Arial"/>
          <w:color w:val="auto"/>
        </w:rPr>
      </w:pPr>
      <w:r w:rsidRPr="00455931">
        <w:rPr>
          <w:rFonts w:ascii="Arial" w:hAnsi="Arial" w:cs="Arial"/>
          <w:color w:val="auto"/>
        </w:rPr>
        <w:t>What are accessibility plans and who is affected?</w:t>
      </w:r>
    </w:p>
    <w:p w:rsidR="000E7F93" w:rsidRPr="00455931" w:rsidRDefault="000E7F93" w:rsidP="004158FE">
      <w:pPr>
        <w:spacing w:after="0" w:line="240" w:lineRule="auto"/>
        <w:rPr>
          <w:rFonts w:ascii="Arial" w:hAnsi="Arial" w:cs="Arial"/>
          <w:color w:val="000000" w:themeColor="text1"/>
          <w:sz w:val="28"/>
          <w:szCs w:val="28"/>
        </w:rPr>
      </w:pPr>
      <w:r w:rsidRPr="00455931">
        <w:rPr>
          <w:rFonts w:ascii="Arial" w:hAnsi="Arial" w:cs="Arial"/>
          <w:color w:val="000000" w:themeColor="text1"/>
          <w:sz w:val="28"/>
          <w:szCs w:val="28"/>
        </w:rPr>
        <w:t xml:space="preserve">All public sector organizations are required to prepare an Accessibility Plan that addresses systemic barriers in policies, practices and procedures. Plans must be made available to members of the public upon request.  </w:t>
      </w:r>
    </w:p>
    <w:p w:rsidR="00747B8A" w:rsidRPr="00455931" w:rsidRDefault="00747B8A" w:rsidP="004158FE">
      <w:pPr>
        <w:spacing w:after="0" w:line="240" w:lineRule="auto"/>
        <w:rPr>
          <w:rFonts w:ascii="Arial" w:hAnsi="Arial" w:cs="Arial"/>
          <w:color w:val="000000" w:themeColor="text1"/>
          <w:sz w:val="28"/>
          <w:szCs w:val="28"/>
        </w:rPr>
      </w:pPr>
    </w:p>
    <w:p w:rsidR="00747B8A" w:rsidRPr="00455931" w:rsidRDefault="000E7F93" w:rsidP="004158FE">
      <w:pPr>
        <w:spacing w:after="0" w:line="240" w:lineRule="auto"/>
        <w:rPr>
          <w:rFonts w:ascii="Arial" w:hAnsi="Arial" w:cs="Arial"/>
          <w:color w:val="000000" w:themeColor="text1"/>
          <w:sz w:val="28"/>
          <w:szCs w:val="28"/>
        </w:rPr>
      </w:pPr>
      <w:r w:rsidRPr="00455931">
        <w:rPr>
          <w:rFonts w:ascii="Arial" w:hAnsi="Arial" w:cs="Arial"/>
          <w:color w:val="000000" w:themeColor="text1"/>
          <w:sz w:val="28"/>
          <w:szCs w:val="28"/>
        </w:rPr>
        <w:t>Public sector organizations include Manitoba government, municipalities, colleges and universities, crown corporations, regional health authorities, crown corporations and government agencies, boards and commissions</w:t>
      </w:r>
    </w:p>
    <w:p w:rsidR="00371E73" w:rsidRPr="00455931" w:rsidRDefault="00371E73" w:rsidP="00745D7A">
      <w:pPr>
        <w:pStyle w:val="Heading1"/>
        <w:numPr>
          <w:ilvl w:val="0"/>
          <w:numId w:val="7"/>
        </w:numPr>
        <w:ind w:left="567" w:hanging="567"/>
        <w:rPr>
          <w:rFonts w:ascii="Arial" w:hAnsi="Arial" w:cs="Arial"/>
          <w:color w:val="auto"/>
        </w:rPr>
      </w:pPr>
      <w:r w:rsidRPr="00455931">
        <w:rPr>
          <w:rFonts w:ascii="Arial" w:hAnsi="Arial" w:cs="Arial"/>
          <w:color w:val="auto"/>
        </w:rPr>
        <w:t xml:space="preserve">What is the content of an accessibility plan? </w:t>
      </w:r>
    </w:p>
    <w:p w:rsidR="00371E73" w:rsidRPr="00455931" w:rsidRDefault="00371E73" w:rsidP="004158FE">
      <w:pPr>
        <w:pStyle w:val="Default"/>
        <w:rPr>
          <w:sz w:val="28"/>
          <w:szCs w:val="28"/>
        </w:rPr>
      </w:pPr>
      <w:r w:rsidRPr="00455931">
        <w:rPr>
          <w:sz w:val="28"/>
          <w:szCs w:val="28"/>
        </w:rPr>
        <w:t>An accessibility plan must include:</w:t>
      </w:r>
    </w:p>
    <w:p w:rsidR="00371E73" w:rsidRPr="00455931" w:rsidRDefault="00371E73" w:rsidP="001905A0">
      <w:pPr>
        <w:pStyle w:val="Default"/>
        <w:numPr>
          <w:ilvl w:val="0"/>
          <w:numId w:val="2"/>
        </w:numPr>
        <w:ind w:left="709" w:hanging="709"/>
        <w:rPr>
          <w:sz w:val="28"/>
          <w:szCs w:val="28"/>
        </w:rPr>
      </w:pPr>
      <w:r w:rsidRPr="00455931">
        <w:rPr>
          <w:sz w:val="28"/>
          <w:szCs w:val="28"/>
        </w:rPr>
        <w:t xml:space="preserve">a report on what measures the public sector organization has taken to identify, prevent and remove barriers that disable people; </w:t>
      </w:r>
    </w:p>
    <w:p w:rsidR="00371E73" w:rsidRPr="00455931" w:rsidRDefault="00747B8A" w:rsidP="001905A0">
      <w:pPr>
        <w:pStyle w:val="Default"/>
        <w:numPr>
          <w:ilvl w:val="0"/>
          <w:numId w:val="2"/>
        </w:numPr>
        <w:ind w:left="709" w:hanging="709"/>
        <w:rPr>
          <w:sz w:val="28"/>
          <w:szCs w:val="28"/>
        </w:rPr>
      </w:pPr>
      <w:r w:rsidRPr="00455931">
        <w:rPr>
          <w:sz w:val="28"/>
          <w:szCs w:val="28"/>
        </w:rPr>
        <w:t>a plan, and</w:t>
      </w:r>
      <w:r w:rsidR="000D3F09" w:rsidRPr="00455931">
        <w:rPr>
          <w:sz w:val="28"/>
          <w:szCs w:val="28"/>
        </w:rPr>
        <w:t xml:space="preserve"> </w:t>
      </w:r>
      <w:r w:rsidR="00371E73" w:rsidRPr="00455931">
        <w:rPr>
          <w:sz w:val="28"/>
          <w:szCs w:val="28"/>
        </w:rPr>
        <w:t xml:space="preserve">time </w:t>
      </w:r>
      <w:r w:rsidRPr="00455931">
        <w:rPr>
          <w:sz w:val="28"/>
          <w:szCs w:val="28"/>
        </w:rPr>
        <w:t xml:space="preserve">line </w:t>
      </w:r>
      <w:r w:rsidR="00371E73" w:rsidRPr="00455931">
        <w:rPr>
          <w:sz w:val="28"/>
          <w:szCs w:val="28"/>
        </w:rPr>
        <w:t xml:space="preserve">to identify, remove and prevent barriers that disable people; </w:t>
      </w:r>
    </w:p>
    <w:p w:rsidR="00371E73" w:rsidRPr="00455931" w:rsidRDefault="004158FE" w:rsidP="001905A0">
      <w:pPr>
        <w:pStyle w:val="Default"/>
        <w:numPr>
          <w:ilvl w:val="0"/>
          <w:numId w:val="2"/>
        </w:numPr>
        <w:ind w:left="709" w:hanging="709"/>
        <w:rPr>
          <w:sz w:val="28"/>
          <w:szCs w:val="28"/>
        </w:rPr>
      </w:pPr>
      <w:r w:rsidRPr="00455931">
        <w:rPr>
          <w:sz w:val="28"/>
          <w:szCs w:val="28"/>
        </w:rPr>
        <w:t>A review process of</w:t>
      </w:r>
      <w:r w:rsidR="00371E73" w:rsidRPr="00455931">
        <w:rPr>
          <w:sz w:val="28"/>
          <w:szCs w:val="28"/>
        </w:rPr>
        <w:t xml:space="preserve"> </w:t>
      </w:r>
      <w:r w:rsidRPr="00455931">
        <w:rPr>
          <w:sz w:val="28"/>
          <w:szCs w:val="28"/>
        </w:rPr>
        <w:t xml:space="preserve">policies, </w:t>
      </w:r>
      <w:r w:rsidR="00371E73" w:rsidRPr="00455931">
        <w:rPr>
          <w:sz w:val="28"/>
          <w:szCs w:val="28"/>
        </w:rPr>
        <w:t xml:space="preserve">proposed policies, programs, practices and services and any proposed enactments or by-laws that will be administered by the public sector body </w:t>
      </w:r>
    </w:p>
    <w:p w:rsidR="004158FE" w:rsidRPr="00455931" w:rsidRDefault="004158FE" w:rsidP="004158FE">
      <w:pPr>
        <w:pStyle w:val="Default"/>
        <w:rPr>
          <w:sz w:val="28"/>
          <w:szCs w:val="28"/>
        </w:rPr>
      </w:pPr>
    </w:p>
    <w:p w:rsidR="00371E73" w:rsidRPr="00455931" w:rsidRDefault="00371E73" w:rsidP="004158FE">
      <w:pPr>
        <w:pStyle w:val="Default"/>
        <w:rPr>
          <w:sz w:val="28"/>
          <w:szCs w:val="28"/>
        </w:rPr>
      </w:pPr>
      <w:r w:rsidRPr="00455931">
        <w:rPr>
          <w:sz w:val="28"/>
          <w:szCs w:val="28"/>
        </w:rPr>
        <w:t>In preparing an accessibility plan, a public sector body must consult with persons disabled by barriers or representatives from organizations of persons disabled by barriers.</w:t>
      </w:r>
    </w:p>
    <w:p w:rsidR="00371E73" w:rsidRPr="00455931" w:rsidRDefault="00371E73" w:rsidP="004158FE">
      <w:pPr>
        <w:pStyle w:val="Default"/>
        <w:rPr>
          <w:sz w:val="28"/>
          <w:szCs w:val="28"/>
        </w:rPr>
      </w:pPr>
    </w:p>
    <w:p w:rsidR="00371E73" w:rsidRPr="00455931" w:rsidRDefault="00371E73" w:rsidP="004158FE">
      <w:pPr>
        <w:pStyle w:val="Default"/>
        <w:rPr>
          <w:sz w:val="28"/>
          <w:szCs w:val="28"/>
        </w:rPr>
      </w:pPr>
      <w:r w:rsidRPr="00455931">
        <w:rPr>
          <w:sz w:val="28"/>
          <w:szCs w:val="28"/>
        </w:rPr>
        <w:lastRenderedPageBreak/>
        <w:t xml:space="preserve">Please see </w:t>
      </w:r>
      <w:hyperlink r:id="rId5" w:history="1">
        <w:r w:rsidR="00ED1DF9" w:rsidRPr="00157774">
          <w:rPr>
            <w:rStyle w:val="Hyperlink"/>
            <w:sz w:val="28"/>
            <w:szCs w:val="28"/>
          </w:rPr>
          <w:t>How to Create Your Accessibility Plan</w:t>
        </w:r>
      </w:hyperlink>
      <w:r w:rsidR="00157774" w:rsidRPr="00157774">
        <w:rPr>
          <w:sz w:val="28"/>
          <w:szCs w:val="28"/>
        </w:rPr>
        <w:t>.</w:t>
      </w:r>
    </w:p>
    <w:p w:rsidR="00371E73" w:rsidRPr="00455931" w:rsidRDefault="00371E73" w:rsidP="004158FE">
      <w:pPr>
        <w:spacing w:after="0" w:line="240" w:lineRule="auto"/>
        <w:rPr>
          <w:rFonts w:ascii="Arial" w:hAnsi="Arial" w:cs="Arial"/>
          <w:color w:val="000000" w:themeColor="text1"/>
          <w:sz w:val="28"/>
          <w:szCs w:val="28"/>
        </w:rPr>
      </w:pPr>
    </w:p>
    <w:p w:rsidR="00745D7A" w:rsidRPr="00455931" w:rsidRDefault="000E7F93" w:rsidP="00745D7A">
      <w:pPr>
        <w:pStyle w:val="ListParagraph"/>
        <w:numPr>
          <w:ilvl w:val="0"/>
          <w:numId w:val="7"/>
        </w:numPr>
        <w:spacing w:after="0" w:line="240" w:lineRule="auto"/>
        <w:ind w:left="567" w:hanging="567"/>
        <w:rPr>
          <w:rFonts w:ascii="Arial" w:hAnsi="Arial" w:cs="Arial"/>
          <w:sz w:val="28"/>
          <w:szCs w:val="28"/>
        </w:rPr>
      </w:pPr>
      <w:r w:rsidRPr="00455931">
        <w:rPr>
          <w:rStyle w:val="Heading1Char"/>
          <w:rFonts w:ascii="Arial" w:hAnsi="Arial" w:cs="Arial"/>
          <w:color w:val="auto"/>
        </w:rPr>
        <w:t>What are the deadlines for the public sector to develop Accessibility Plans?</w:t>
      </w:r>
      <w:r w:rsidRPr="00455931">
        <w:rPr>
          <w:rFonts w:ascii="Arial" w:hAnsi="Arial" w:cs="Arial"/>
          <w:b/>
          <w:sz w:val="28"/>
          <w:szCs w:val="28"/>
        </w:rPr>
        <w:t xml:space="preserve"> </w:t>
      </w:r>
    </w:p>
    <w:p w:rsidR="00745D7A" w:rsidRPr="00455931" w:rsidRDefault="00745D7A" w:rsidP="00745D7A">
      <w:pPr>
        <w:spacing w:after="0" w:line="240" w:lineRule="auto"/>
        <w:rPr>
          <w:rFonts w:ascii="Arial" w:hAnsi="Arial" w:cs="Arial"/>
          <w:color w:val="000000" w:themeColor="text1"/>
          <w:sz w:val="28"/>
          <w:szCs w:val="28"/>
        </w:rPr>
      </w:pPr>
    </w:p>
    <w:p w:rsidR="000E7F93" w:rsidRPr="00455931" w:rsidRDefault="000E7F93" w:rsidP="00745D7A">
      <w:pPr>
        <w:spacing w:after="0" w:line="240" w:lineRule="auto"/>
        <w:rPr>
          <w:rFonts w:ascii="Arial" w:hAnsi="Arial" w:cs="Arial"/>
          <w:color w:val="000000" w:themeColor="text1"/>
          <w:sz w:val="28"/>
          <w:szCs w:val="28"/>
        </w:rPr>
      </w:pPr>
      <w:r w:rsidRPr="00455931">
        <w:rPr>
          <w:rFonts w:ascii="Arial" w:hAnsi="Arial" w:cs="Arial"/>
          <w:color w:val="000000" w:themeColor="text1"/>
          <w:sz w:val="28"/>
          <w:szCs w:val="28"/>
        </w:rPr>
        <w:t>Compliance differs</w:t>
      </w:r>
      <w:r w:rsidR="00745D7A" w:rsidRPr="00455931">
        <w:rPr>
          <w:rFonts w:ascii="Arial" w:hAnsi="Arial" w:cs="Arial"/>
          <w:color w:val="000000" w:themeColor="text1"/>
          <w:sz w:val="28"/>
          <w:szCs w:val="28"/>
        </w:rPr>
        <w:t xml:space="preserve"> depending on your organization:</w:t>
      </w:r>
      <w:r w:rsidRPr="00455931">
        <w:rPr>
          <w:rFonts w:ascii="Arial" w:hAnsi="Arial" w:cs="Arial"/>
          <w:color w:val="000000" w:themeColor="text1"/>
          <w:sz w:val="28"/>
          <w:szCs w:val="28"/>
        </w:rPr>
        <w:t xml:space="preserve">  </w:t>
      </w:r>
    </w:p>
    <w:p w:rsidR="00745D7A" w:rsidRPr="00455931" w:rsidRDefault="000E7F93" w:rsidP="004158FE">
      <w:pPr>
        <w:pStyle w:val="ListParagraph"/>
        <w:numPr>
          <w:ilvl w:val="0"/>
          <w:numId w:val="8"/>
        </w:numPr>
        <w:autoSpaceDE w:val="0"/>
        <w:autoSpaceDN w:val="0"/>
        <w:adjustRightInd w:val="0"/>
        <w:spacing w:after="0" w:line="240" w:lineRule="auto"/>
        <w:rPr>
          <w:rFonts w:ascii="Arial" w:hAnsi="Arial" w:cs="Arial"/>
          <w:color w:val="000000" w:themeColor="text1"/>
          <w:sz w:val="28"/>
          <w:szCs w:val="28"/>
        </w:rPr>
      </w:pPr>
      <w:r w:rsidRPr="00455931">
        <w:rPr>
          <w:rFonts w:ascii="Arial" w:hAnsi="Arial" w:cs="Arial"/>
          <w:b/>
          <w:bCs/>
          <w:color w:val="000000" w:themeColor="text1"/>
          <w:sz w:val="28"/>
          <w:szCs w:val="28"/>
        </w:rPr>
        <w:t xml:space="preserve">2016: </w:t>
      </w:r>
      <w:r w:rsidRPr="00455931">
        <w:rPr>
          <w:rFonts w:ascii="Arial" w:hAnsi="Arial" w:cs="Arial"/>
          <w:color w:val="000000" w:themeColor="text1"/>
          <w:sz w:val="28"/>
          <w:szCs w:val="28"/>
        </w:rPr>
        <w:t xml:space="preserve">Manitoba government and all its departments, universities and colleges, school divisions, crown corporations, regional health authorities and </w:t>
      </w:r>
      <w:r w:rsidR="00745D7A" w:rsidRPr="00455931">
        <w:rPr>
          <w:rFonts w:ascii="Arial" w:hAnsi="Arial" w:cs="Arial"/>
          <w:color w:val="000000" w:themeColor="text1"/>
          <w:sz w:val="28"/>
          <w:szCs w:val="28"/>
        </w:rPr>
        <w:t>ci</w:t>
      </w:r>
      <w:r w:rsidRPr="00455931">
        <w:rPr>
          <w:rFonts w:ascii="Arial" w:hAnsi="Arial" w:cs="Arial"/>
          <w:color w:val="000000" w:themeColor="text1"/>
          <w:sz w:val="28"/>
          <w:szCs w:val="28"/>
        </w:rPr>
        <w:t xml:space="preserve">ties with populations over 10,000 </w:t>
      </w:r>
    </w:p>
    <w:p w:rsidR="000E7F93" w:rsidRPr="00455931" w:rsidRDefault="000E7F93" w:rsidP="004158FE">
      <w:pPr>
        <w:pStyle w:val="ListParagraph"/>
        <w:numPr>
          <w:ilvl w:val="0"/>
          <w:numId w:val="8"/>
        </w:numPr>
        <w:autoSpaceDE w:val="0"/>
        <w:autoSpaceDN w:val="0"/>
        <w:adjustRightInd w:val="0"/>
        <w:spacing w:after="0" w:line="240" w:lineRule="auto"/>
        <w:rPr>
          <w:rFonts w:ascii="Arial" w:hAnsi="Arial" w:cs="Arial"/>
          <w:color w:val="000000" w:themeColor="text1"/>
          <w:sz w:val="28"/>
          <w:szCs w:val="28"/>
        </w:rPr>
      </w:pPr>
      <w:r w:rsidRPr="00455931">
        <w:rPr>
          <w:rFonts w:ascii="Arial" w:hAnsi="Arial" w:cs="Arial"/>
          <w:b/>
          <w:bCs/>
          <w:color w:val="000000" w:themeColor="text1"/>
          <w:sz w:val="28"/>
          <w:szCs w:val="28"/>
        </w:rPr>
        <w:t xml:space="preserve">2017: </w:t>
      </w:r>
      <w:r w:rsidRPr="00455931">
        <w:rPr>
          <w:rFonts w:ascii="Arial" w:hAnsi="Arial" w:cs="Arial"/>
          <w:color w:val="000000" w:themeColor="text1"/>
          <w:sz w:val="28"/>
          <w:szCs w:val="28"/>
        </w:rPr>
        <w:t xml:space="preserve">all other public sector bodies, including smaller municipalities, any board,  commission, association, agency or similar body whose management, directors or  governing members are appointed by an act of the Legislature or by the  Lieutenant Governor in Council  </w:t>
      </w:r>
    </w:p>
    <w:p w:rsidR="00745D7A" w:rsidRPr="00455931" w:rsidRDefault="00745D7A" w:rsidP="00745D7A">
      <w:pPr>
        <w:pStyle w:val="ListParagraph"/>
        <w:autoSpaceDE w:val="0"/>
        <w:autoSpaceDN w:val="0"/>
        <w:adjustRightInd w:val="0"/>
        <w:spacing w:after="0" w:line="240" w:lineRule="auto"/>
        <w:rPr>
          <w:rFonts w:ascii="Arial" w:hAnsi="Arial" w:cs="Arial"/>
          <w:color w:val="000000" w:themeColor="text1"/>
          <w:sz w:val="28"/>
          <w:szCs w:val="28"/>
        </w:rPr>
      </w:pPr>
    </w:p>
    <w:p w:rsidR="000E7F93" w:rsidRPr="00455931" w:rsidRDefault="000E7F93" w:rsidP="004158FE">
      <w:pPr>
        <w:spacing w:after="0" w:line="240" w:lineRule="auto"/>
        <w:rPr>
          <w:rFonts w:ascii="Arial" w:hAnsi="Arial" w:cs="Arial"/>
          <w:color w:val="000000" w:themeColor="text1"/>
          <w:sz w:val="28"/>
          <w:szCs w:val="28"/>
        </w:rPr>
      </w:pPr>
      <w:r w:rsidRPr="00455931">
        <w:rPr>
          <w:rFonts w:ascii="Arial" w:hAnsi="Arial" w:cs="Arial"/>
          <w:b/>
          <w:bCs/>
          <w:color w:val="000000" w:themeColor="text1"/>
          <w:sz w:val="28"/>
          <w:szCs w:val="28"/>
        </w:rPr>
        <w:t xml:space="preserve">NOTE: </w:t>
      </w:r>
      <w:r w:rsidRPr="00455931">
        <w:rPr>
          <w:rFonts w:ascii="Arial" w:hAnsi="Arial" w:cs="Arial"/>
          <w:color w:val="000000" w:themeColor="text1"/>
          <w:sz w:val="28"/>
          <w:szCs w:val="28"/>
        </w:rPr>
        <w:t>The act allows two or more smaller municipalities to share an Accessibility Plan.</w:t>
      </w:r>
    </w:p>
    <w:p w:rsidR="000E7F93" w:rsidRPr="00455931" w:rsidRDefault="000E7F93" w:rsidP="00745D7A">
      <w:pPr>
        <w:pStyle w:val="Heading1"/>
        <w:numPr>
          <w:ilvl w:val="0"/>
          <w:numId w:val="7"/>
        </w:numPr>
        <w:ind w:left="567" w:hanging="567"/>
        <w:rPr>
          <w:rFonts w:ascii="Arial" w:hAnsi="Arial" w:cs="Arial"/>
          <w:color w:val="auto"/>
        </w:rPr>
      </w:pPr>
      <w:r w:rsidRPr="00455931">
        <w:rPr>
          <w:rFonts w:ascii="Arial" w:hAnsi="Arial" w:cs="Arial"/>
          <w:color w:val="auto"/>
        </w:rPr>
        <w:t>How do accessibility standards affect the Building Code?</w:t>
      </w:r>
    </w:p>
    <w:p w:rsidR="000E7F93" w:rsidRPr="00455931" w:rsidRDefault="000E7F93" w:rsidP="004158FE">
      <w:pPr>
        <w:spacing w:after="0" w:line="240" w:lineRule="auto"/>
        <w:rPr>
          <w:rFonts w:ascii="Arial" w:hAnsi="Arial" w:cs="Arial"/>
          <w:color w:val="000000" w:themeColor="text1"/>
          <w:sz w:val="28"/>
          <w:szCs w:val="28"/>
        </w:rPr>
      </w:pPr>
      <w:r w:rsidRPr="00455931">
        <w:rPr>
          <w:rFonts w:ascii="Arial" w:hAnsi="Arial" w:cs="Arial"/>
          <w:color w:val="000000" w:themeColor="text1"/>
          <w:sz w:val="28"/>
          <w:szCs w:val="28"/>
        </w:rPr>
        <w:t xml:space="preserve">Existing legislation that already addresses accessibility will not be contradicted or duplicated.  As such, </w:t>
      </w:r>
      <w:hyperlink r:id="rId6" w:history="1">
        <w:r w:rsidR="00ED1DF9" w:rsidRPr="00157774">
          <w:rPr>
            <w:rStyle w:val="Hyperlink"/>
            <w:rFonts w:ascii="Arial" w:hAnsi="Arial" w:cs="Arial"/>
            <w:i/>
            <w:sz w:val="28"/>
            <w:szCs w:val="28"/>
          </w:rPr>
          <w:t>The Manitoba Building Code</w:t>
        </w:r>
      </w:hyperlink>
      <w:r w:rsidRPr="00455931">
        <w:rPr>
          <w:rFonts w:ascii="Arial" w:hAnsi="Arial" w:cs="Arial"/>
          <w:color w:val="000000" w:themeColor="text1"/>
          <w:sz w:val="28"/>
          <w:szCs w:val="28"/>
        </w:rPr>
        <w:t xml:space="preserve"> will continue to govern the construction of all new structures and major retrofits to existing buildings</w:t>
      </w:r>
      <w:r w:rsidRPr="00455931">
        <w:rPr>
          <w:rFonts w:ascii="Arial" w:hAnsi="Arial" w:cs="Arial"/>
          <w:i/>
          <w:color w:val="000000" w:themeColor="text1"/>
          <w:sz w:val="28"/>
          <w:szCs w:val="28"/>
        </w:rPr>
        <w:t>.</w:t>
      </w:r>
      <w:r w:rsidRPr="00455931">
        <w:rPr>
          <w:rFonts w:ascii="Arial" w:hAnsi="Arial" w:cs="Arial"/>
          <w:color w:val="000000" w:themeColor="text1"/>
          <w:sz w:val="28"/>
          <w:szCs w:val="28"/>
          <w:lang w:val="en-US"/>
        </w:rPr>
        <w:t xml:space="preserve">  </w:t>
      </w:r>
      <w:r w:rsidRPr="00455931">
        <w:rPr>
          <w:rFonts w:ascii="Arial" w:hAnsi="Arial" w:cs="Arial"/>
          <w:i/>
          <w:color w:val="000000" w:themeColor="text1"/>
          <w:sz w:val="28"/>
          <w:szCs w:val="28"/>
        </w:rPr>
        <w:t>The Manitoba Building Code</w:t>
      </w:r>
      <w:r w:rsidRPr="00455931">
        <w:rPr>
          <w:rFonts w:ascii="Arial" w:hAnsi="Arial" w:cs="Arial"/>
          <w:color w:val="000000" w:themeColor="text1"/>
          <w:sz w:val="28"/>
          <w:szCs w:val="28"/>
        </w:rPr>
        <w:t xml:space="preserve"> does not apply retroactively.  That means that structures are required to comply with the regulations of the Code at the time of its construction or major renovation.</w:t>
      </w:r>
    </w:p>
    <w:p w:rsidR="007F781B" w:rsidRPr="00455931" w:rsidRDefault="00371E73" w:rsidP="00745D7A">
      <w:pPr>
        <w:pStyle w:val="Heading1"/>
        <w:numPr>
          <w:ilvl w:val="0"/>
          <w:numId w:val="7"/>
        </w:numPr>
        <w:ind w:left="567" w:hanging="567"/>
        <w:rPr>
          <w:rFonts w:ascii="Arial" w:hAnsi="Arial" w:cs="Arial"/>
          <w:color w:val="auto"/>
        </w:rPr>
      </w:pPr>
      <w:r w:rsidRPr="00455931">
        <w:rPr>
          <w:rFonts w:ascii="Arial" w:hAnsi="Arial" w:cs="Arial"/>
          <w:color w:val="auto"/>
        </w:rPr>
        <w:t xml:space="preserve">How does The Accessibility for Manitobans Act affect </w:t>
      </w:r>
      <w:r w:rsidR="00ED1DF9" w:rsidRPr="00455931">
        <w:rPr>
          <w:rFonts w:ascii="Arial" w:hAnsi="Arial" w:cs="Arial"/>
          <w:i/>
          <w:color w:val="auto"/>
        </w:rPr>
        <w:t>The Human Rights Code</w:t>
      </w:r>
      <w:r w:rsidRPr="00455931">
        <w:rPr>
          <w:rFonts w:ascii="Arial" w:hAnsi="Arial" w:cs="Arial"/>
          <w:i/>
          <w:color w:val="auto"/>
        </w:rPr>
        <w:t xml:space="preserve"> (Manitoba)</w:t>
      </w:r>
      <w:r w:rsidR="007F781B" w:rsidRPr="00455931">
        <w:rPr>
          <w:rFonts w:ascii="Arial" w:hAnsi="Arial" w:cs="Arial"/>
          <w:color w:val="auto"/>
        </w:rPr>
        <w:t>?</w:t>
      </w:r>
    </w:p>
    <w:p w:rsidR="000E7F93" w:rsidRPr="00455931" w:rsidRDefault="00371E73" w:rsidP="007F781B">
      <w:pPr>
        <w:pStyle w:val="ListParagraph"/>
        <w:spacing w:after="0" w:line="240" w:lineRule="auto"/>
        <w:ind w:left="0"/>
        <w:rPr>
          <w:rFonts w:ascii="Arial" w:hAnsi="Arial" w:cs="Arial"/>
          <w:bCs/>
          <w:i/>
          <w:color w:val="000000" w:themeColor="text1"/>
          <w:sz w:val="28"/>
          <w:szCs w:val="28"/>
        </w:rPr>
      </w:pPr>
      <w:r w:rsidRPr="00455931">
        <w:rPr>
          <w:rFonts w:ascii="Arial" w:hAnsi="Arial" w:cs="Arial"/>
          <w:bCs/>
          <w:i/>
          <w:color w:val="000000" w:themeColor="text1"/>
          <w:sz w:val="28"/>
          <w:szCs w:val="28"/>
        </w:rPr>
        <w:t xml:space="preserve">The Accessibility for </w:t>
      </w:r>
      <w:r w:rsidRPr="00157774">
        <w:rPr>
          <w:rFonts w:ascii="Arial" w:hAnsi="Arial" w:cs="Arial"/>
          <w:bCs/>
          <w:i/>
          <w:color w:val="000000" w:themeColor="text1"/>
          <w:sz w:val="28"/>
          <w:szCs w:val="28"/>
        </w:rPr>
        <w:t>Manitobans Act</w:t>
      </w:r>
      <w:r w:rsidRPr="00157774">
        <w:rPr>
          <w:rFonts w:ascii="Arial" w:hAnsi="Arial" w:cs="Arial"/>
          <w:bCs/>
          <w:color w:val="000000" w:themeColor="text1"/>
          <w:sz w:val="28"/>
          <w:szCs w:val="28"/>
        </w:rPr>
        <w:t xml:space="preserve"> </w:t>
      </w:r>
      <w:r w:rsidR="008477CD" w:rsidRPr="00157774">
        <w:rPr>
          <w:rFonts w:ascii="Arial" w:hAnsi="Arial" w:cs="Arial"/>
          <w:bCs/>
          <w:color w:val="000000" w:themeColor="text1"/>
          <w:sz w:val="28"/>
          <w:szCs w:val="28"/>
        </w:rPr>
        <w:t xml:space="preserve">is a proactive law which </w:t>
      </w:r>
      <w:r w:rsidRPr="00157774">
        <w:rPr>
          <w:rFonts w:ascii="Arial" w:hAnsi="Arial" w:cs="Arial"/>
          <w:bCs/>
          <w:color w:val="000000" w:themeColor="text1"/>
          <w:sz w:val="28"/>
          <w:szCs w:val="28"/>
        </w:rPr>
        <w:t>builds</w:t>
      </w:r>
      <w:r w:rsidRPr="00157774">
        <w:rPr>
          <w:rFonts w:ascii="Arial" w:hAnsi="Arial" w:cs="Arial"/>
          <w:bCs/>
          <w:i/>
          <w:color w:val="000000" w:themeColor="text1"/>
          <w:sz w:val="28"/>
          <w:szCs w:val="28"/>
        </w:rPr>
        <w:t xml:space="preserve"> </w:t>
      </w:r>
      <w:r w:rsidRPr="00157774">
        <w:rPr>
          <w:rFonts w:ascii="Arial" w:hAnsi="Arial" w:cs="Arial"/>
          <w:bCs/>
          <w:color w:val="000000" w:themeColor="text1"/>
          <w:sz w:val="28"/>
          <w:szCs w:val="28"/>
        </w:rPr>
        <w:t xml:space="preserve">on the principals of </w:t>
      </w:r>
      <w:hyperlink r:id="rId7" w:history="1">
        <w:r w:rsidRPr="00157774">
          <w:rPr>
            <w:rStyle w:val="Hyperlink"/>
            <w:rFonts w:ascii="Arial" w:hAnsi="Arial" w:cs="Arial"/>
            <w:bCs/>
            <w:i/>
            <w:sz w:val="28"/>
            <w:szCs w:val="28"/>
          </w:rPr>
          <w:t>The Human Rights Code</w:t>
        </w:r>
        <w:r w:rsidR="007F781B" w:rsidRPr="00157774">
          <w:rPr>
            <w:rStyle w:val="Hyperlink"/>
            <w:rFonts w:ascii="Arial" w:hAnsi="Arial" w:cs="Arial"/>
            <w:bCs/>
            <w:i/>
            <w:sz w:val="28"/>
            <w:szCs w:val="28"/>
          </w:rPr>
          <w:t xml:space="preserve"> (Manitoba</w:t>
        </w:r>
        <w:r w:rsidR="007F781B" w:rsidRPr="00157774">
          <w:rPr>
            <w:rStyle w:val="Hyperlink"/>
            <w:rFonts w:ascii="Arial" w:hAnsi="Arial" w:cs="Arial"/>
            <w:bCs/>
            <w:sz w:val="28"/>
            <w:szCs w:val="28"/>
          </w:rPr>
          <w:t>)</w:t>
        </w:r>
      </w:hyperlink>
      <w:r w:rsidR="007F781B" w:rsidRPr="00157774">
        <w:rPr>
          <w:rFonts w:ascii="Arial" w:hAnsi="Arial" w:cs="Arial"/>
          <w:bCs/>
          <w:i/>
          <w:color w:val="000000" w:themeColor="text1"/>
          <w:sz w:val="28"/>
          <w:szCs w:val="28"/>
        </w:rPr>
        <w:t>.</w:t>
      </w:r>
      <w:r w:rsidR="008477CD" w:rsidRPr="00157774">
        <w:rPr>
          <w:rFonts w:ascii="Arial" w:hAnsi="Arial" w:cs="Arial"/>
          <w:bCs/>
          <w:i/>
          <w:color w:val="000000" w:themeColor="text1"/>
          <w:sz w:val="28"/>
          <w:szCs w:val="28"/>
        </w:rPr>
        <w:t xml:space="preserve"> </w:t>
      </w:r>
      <w:r w:rsidRPr="00157774">
        <w:rPr>
          <w:rFonts w:ascii="Arial" w:hAnsi="Arial" w:cs="Arial"/>
          <w:bCs/>
          <w:color w:val="000000" w:themeColor="text1"/>
          <w:sz w:val="28"/>
          <w:szCs w:val="28"/>
        </w:rPr>
        <w:t>The</w:t>
      </w:r>
      <w:r w:rsidR="008477CD" w:rsidRPr="00157774">
        <w:rPr>
          <w:rFonts w:ascii="Arial" w:hAnsi="Arial" w:cs="Arial"/>
          <w:bCs/>
          <w:color w:val="000000" w:themeColor="text1"/>
          <w:sz w:val="28"/>
          <w:szCs w:val="28"/>
        </w:rPr>
        <w:t xml:space="preserve"> </w:t>
      </w:r>
      <w:r w:rsidRPr="00157774">
        <w:rPr>
          <w:rFonts w:ascii="Arial" w:hAnsi="Arial" w:cs="Arial"/>
          <w:bCs/>
          <w:color w:val="000000" w:themeColor="text1"/>
          <w:sz w:val="28"/>
          <w:szCs w:val="28"/>
        </w:rPr>
        <w:t xml:space="preserve">rights and responsibilities covered by </w:t>
      </w:r>
      <w:r w:rsidRPr="00157774">
        <w:rPr>
          <w:rFonts w:ascii="Arial" w:hAnsi="Arial" w:cs="Arial"/>
          <w:bCs/>
          <w:i/>
          <w:color w:val="000000" w:themeColor="text1"/>
          <w:sz w:val="28"/>
          <w:szCs w:val="28"/>
        </w:rPr>
        <w:t xml:space="preserve">The Human Rights Code </w:t>
      </w:r>
      <w:r w:rsidRPr="00157774">
        <w:rPr>
          <w:rFonts w:ascii="Arial" w:hAnsi="Arial" w:cs="Arial"/>
          <w:bCs/>
          <w:color w:val="000000" w:themeColor="text1"/>
          <w:sz w:val="28"/>
          <w:szCs w:val="28"/>
        </w:rPr>
        <w:t>override any other l</w:t>
      </w:r>
      <w:r w:rsidRPr="00157774">
        <w:rPr>
          <w:rFonts w:ascii="Arial" w:hAnsi="Arial" w:cs="Arial"/>
          <w:bCs/>
          <w:i/>
          <w:color w:val="000000" w:themeColor="text1"/>
          <w:sz w:val="28"/>
          <w:szCs w:val="28"/>
        </w:rPr>
        <w:t>aw</w:t>
      </w:r>
      <w:r w:rsidRPr="00157774">
        <w:rPr>
          <w:rFonts w:ascii="Arial" w:hAnsi="Arial" w:cs="Arial"/>
          <w:bCs/>
          <w:color w:val="000000" w:themeColor="text1"/>
          <w:sz w:val="28"/>
          <w:szCs w:val="28"/>
        </w:rPr>
        <w:t>, unless that law specifically says</w:t>
      </w:r>
      <w:r w:rsidRPr="00455931">
        <w:rPr>
          <w:rFonts w:ascii="Arial" w:hAnsi="Arial" w:cs="Arial"/>
          <w:bCs/>
          <w:color w:val="000000" w:themeColor="text1"/>
          <w:sz w:val="28"/>
          <w:szCs w:val="28"/>
        </w:rPr>
        <w:t xml:space="preserve"> otherwi</w:t>
      </w:r>
      <w:r w:rsidRPr="00455931">
        <w:rPr>
          <w:rFonts w:ascii="Arial" w:hAnsi="Arial" w:cs="Arial"/>
          <w:bCs/>
          <w:i/>
          <w:color w:val="000000" w:themeColor="text1"/>
          <w:sz w:val="28"/>
          <w:szCs w:val="28"/>
        </w:rPr>
        <w:t xml:space="preserve">se.    </w:t>
      </w:r>
    </w:p>
    <w:p w:rsidR="00371E73" w:rsidRPr="00745D7A" w:rsidRDefault="00371E73" w:rsidP="008B2F95">
      <w:pPr>
        <w:spacing w:after="0" w:line="240" w:lineRule="auto"/>
        <w:ind w:firstLine="720"/>
        <w:rPr>
          <w:rFonts w:ascii="Arial" w:hAnsi="Arial" w:cs="Arial"/>
          <w:bCs/>
          <w:i/>
          <w:color w:val="000000" w:themeColor="text1"/>
          <w:sz w:val="28"/>
          <w:szCs w:val="28"/>
        </w:rPr>
      </w:pPr>
    </w:p>
    <w:p w:rsidR="00FC431E" w:rsidRPr="007F781B" w:rsidRDefault="00FC431E" w:rsidP="008B2F95">
      <w:pPr>
        <w:spacing w:after="0" w:line="240" w:lineRule="auto"/>
        <w:rPr>
          <w:bCs/>
          <w:i/>
          <w:color w:val="000000" w:themeColor="text1"/>
          <w:sz w:val="28"/>
          <w:szCs w:val="28"/>
          <w:vertAlign w:val="superscript"/>
        </w:rPr>
      </w:pPr>
    </w:p>
    <w:sectPr w:rsidR="00FC431E" w:rsidRPr="007F781B" w:rsidSect="00FC43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363C5"/>
    <w:multiLevelType w:val="hybridMultilevel"/>
    <w:tmpl w:val="A9C21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331D9C"/>
    <w:multiLevelType w:val="hybridMultilevel"/>
    <w:tmpl w:val="C8E47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4110056"/>
    <w:multiLevelType w:val="hybridMultilevel"/>
    <w:tmpl w:val="1A487B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A34E03"/>
    <w:multiLevelType w:val="hybridMultilevel"/>
    <w:tmpl w:val="16FC39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CD721F"/>
    <w:multiLevelType w:val="hybridMultilevel"/>
    <w:tmpl w:val="F4DC47C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5E907618"/>
    <w:multiLevelType w:val="hybridMultilevel"/>
    <w:tmpl w:val="A1F26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9873E3B"/>
    <w:multiLevelType w:val="hybridMultilevel"/>
    <w:tmpl w:val="284AECE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AB07A50"/>
    <w:multiLevelType w:val="hybridMultilevel"/>
    <w:tmpl w:val="330A84EE"/>
    <w:lvl w:ilvl="0" w:tplc="3022F862">
      <w:start w:val="1"/>
      <w:numFmt w:val="decimal"/>
      <w:lvlText w:val="%1."/>
      <w:lvlJc w:val="left"/>
      <w:pPr>
        <w:ind w:left="360" w:hanging="360"/>
      </w:pPr>
      <w:rPr>
        <w:rFonts w:asciiTheme="minorHAnsi" w:eastAsiaTheme="minorHAnsi" w:hAnsiTheme="minorHAnsi" w:cstheme="minorBidi"/>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954BF6"/>
    <w:rsid w:val="000D3F09"/>
    <w:rsid w:val="000E7F93"/>
    <w:rsid w:val="00157774"/>
    <w:rsid w:val="001905A0"/>
    <w:rsid w:val="00371E73"/>
    <w:rsid w:val="004158FE"/>
    <w:rsid w:val="00455931"/>
    <w:rsid w:val="00547661"/>
    <w:rsid w:val="005C7284"/>
    <w:rsid w:val="006E7956"/>
    <w:rsid w:val="00745D7A"/>
    <w:rsid w:val="00747B8A"/>
    <w:rsid w:val="007F0F2E"/>
    <w:rsid w:val="007F781B"/>
    <w:rsid w:val="00846443"/>
    <w:rsid w:val="008477CD"/>
    <w:rsid w:val="008B2F95"/>
    <w:rsid w:val="008B2FA2"/>
    <w:rsid w:val="0090256A"/>
    <w:rsid w:val="00954BF6"/>
    <w:rsid w:val="00AD5973"/>
    <w:rsid w:val="00B559CD"/>
    <w:rsid w:val="00C21A97"/>
    <w:rsid w:val="00CA2CEF"/>
    <w:rsid w:val="00ED1DF9"/>
    <w:rsid w:val="00F01A8C"/>
    <w:rsid w:val="00F46B8D"/>
    <w:rsid w:val="00FC43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93"/>
  </w:style>
  <w:style w:type="paragraph" w:styleId="Heading1">
    <w:name w:val="heading 1"/>
    <w:basedOn w:val="Normal"/>
    <w:next w:val="Normal"/>
    <w:link w:val="Heading1Char"/>
    <w:uiPriority w:val="9"/>
    <w:qFormat/>
    <w:rsid w:val="00745D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93"/>
    <w:pPr>
      <w:ind w:left="720"/>
      <w:contextualSpacing/>
    </w:pPr>
  </w:style>
  <w:style w:type="paragraph" w:customStyle="1" w:styleId="Pa4">
    <w:name w:val="Pa4"/>
    <w:basedOn w:val="Normal"/>
    <w:next w:val="Normal"/>
    <w:uiPriority w:val="99"/>
    <w:rsid w:val="000E7F93"/>
    <w:pPr>
      <w:autoSpaceDE w:val="0"/>
      <w:autoSpaceDN w:val="0"/>
      <w:adjustRightInd w:val="0"/>
      <w:spacing w:after="0" w:line="241" w:lineRule="atLeast"/>
    </w:pPr>
    <w:rPr>
      <w:rFonts w:ascii="Frutiger LT Std 55 Roman" w:hAnsi="Frutiger LT Std 55 Roman"/>
      <w:sz w:val="24"/>
      <w:szCs w:val="24"/>
    </w:rPr>
  </w:style>
  <w:style w:type="paragraph" w:customStyle="1" w:styleId="Pa6">
    <w:name w:val="Pa6"/>
    <w:basedOn w:val="Normal"/>
    <w:next w:val="Normal"/>
    <w:uiPriority w:val="99"/>
    <w:rsid w:val="000E7F93"/>
    <w:pPr>
      <w:autoSpaceDE w:val="0"/>
      <w:autoSpaceDN w:val="0"/>
      <w:adjustRightInd w:val="0"/>
      <w:spacing w:after="0" w:line="241" w:lineRule="atLeast"/>
    </w:pPr>
    <w:rPr>
      <w:rFonts w:ascii="Frutiger LT Std 55 Roman" w:hAnsi="Frutiger LT Std 55 Roman"/>
      <w:sz w:val="24"/>
      <w:szCs w:val="24"/>
    </w:rPr>
  </w:style>
  <w:style w:type="paragraph" w:customStyle="1" w:styleId="Pa7">
    <w:name w:val="Pa7"/>
    <w:basedOn w:val="Normal"/>
    <w:next w:val="Normal"/>
    <w:uiPriority w:val="99"/>
    <w:rsid w:val="000E7F93"/>
    <w:pPr>
      <w:autoSpaceDE w:val="0"/>
      <w:autoSpaceDN w:val="0"/>
      <w:adjustRightInd w:val="0"/>
      <w:spacing w:after="0" w:line="241" w:lineRule="atLeast"/>
    </w:pPr>
    <w:rPr>
      <w:rFonts w:ascii="Frutiger LT Std 55 Roman" w:hAnsi="Frutiger LT Std 55 Roman"/>
      <w:sz w:val="24"/>
      <w:szCs w:val="24"/>
    </w:rPr>
  </w:style>
  <w:style w:type="paragraph" w:customStyle="1" w:styleId="Default">
    <w:name w:val="Default"/>
    <w:rsid w:val="00371E7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4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B8A"/>
    <w:rPr>
      <w:rFonts w:ascii="Tahoma" w:hAnsi="Tahoma" w:cs="Tahoma"/>
      <w:sz w:val="16"/>
      <w:szCs w:val="16"/>
    </w:rPr>
  </w:style>
  <w:style w:type="character" w:styleId="CommentReference">
    <w:name w:val="annotation reference"/>
    <w:basedOn w:val="DefaultParagraphFont"/>
    <w:uiPriority w:val="99"/>
    <w:semiHidden/>
    <w:unhideWhenUsed/>
    <w:rsid w:val="00747B8A"/>
    <w:rPr>
      <w:sz w:val="16"/>
      <w:szCs w:val="16"/>
    </w:rPr>
  </w:style>
  <w:style w:type="paragraph" w:styleId="CommentText">
    <w:name w:val="annotation text"/>
    <w:basedOn w:val="Normal"/>
    <w:link w:val="CommentTextChar"/>
    <w:uiPriority w:val="99"/>
    <w:semiHidden/>
    <w:unhideWhenUsed/>
    <w:rsid w:val="00747B8A"/>
    <w:pPr>
      <w:spacing w:line="240" w:lineRule="auto"/>
    </w:pPr>
    <w:rPr>
      <w:sz w:val="20"/>
      <w:szCs w:val="20"/>
    </w:rPr>
  </w:style>
  <w:style w:type="character" w:customStyle="1" w:styleId="CommentTextChar">
    <w:name w:val="Comment Text Char"/>
    <w:basedOn w:val="DefaultParagraphFont"/>
    <w:link w:val="CommentText"/>
    <w:uiPriority w:val="99"/>
    <w:semiHidden/>
    <w:rsid w:val="00747B8A"/>
    <w:rPr>
      <w:sz w:val="20"/>
      <w:szCs w:val="20"/>
    </w:rPr>
  </w:style>
  <w:style w:type="paragraph" w:styleId="CommentSubject">
    <w:name w:val="annotation subject"/>
    <w:basedOn w:val="CommentText"/>
    <w:next w:val="CommentText"/>
    <w:link w:val="CommentSubjectChar"/>
    <w:uiPriority w:val="99"/>
    <w:semiHidden/>
    <w:unhideWhenUsed/>
    <w:rsid w:val="00747B8A"/>
    <w:rPr>
      <w:b/>
      <w:bCs/>
    </w:rPr>
  </w:style>
  <w:style w:type="character" w:customStyle="1" w:styleId="CommentSubjectChar">
    <w:name w:val="Comment Subject Char"/>
    <w:basedOn w:val="CommentTextChar"/>
    <w:link w:val="CommentSubject"/>
    <w:uiPriority w:val="99"/>
    <w:semiHidden/>
    <w:rsid w:val="00747B8A"/>
    <w:rPr>
      <w:b/>
      <w:bCs/>
    </w:rPr>
  </w:style>
  <w:style w:type="paragraph" w:styleId="Title">
    <w:name w:val="Title"/>
    <w:basedOn w:val="Normal"/>
    <w:next w:val="Normal"/>
    <w:link w:val="TitleChar"/>
    <w:uiPriority w:val="10"/>
    <w:qFormat/>
    <w:rsid w:val="00745D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D7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45D7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577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2.gov.mb.ca/laws/statutes/ccsm/h175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2.gov.mb.ca/laws/statutes/ccsm/b093e.php" TargetMode="External"/><Relationship Id="rId5" Type="http://schemas.openxmlformats.org/officeDocument/2006/relationships/hyperlink" Target="http://accessibilitymb.ca/pdf/accessibility-pla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Pknipe</dc:creator>
  <cp:lastModifiedBy>NGareauWil</cp:lastModifiedBy>
  <cp:revision>4</cp:revision>
  <dcterms:created xsi:type="dcterms:W3CDTF">2016-07-04T14:58:00Z</dcterms:created>
  <dcterms:modified xsi:type="dcterms:W3CDTF">2016-07-04T15:13:00Z</dcterms:modified>
</cp:coreProperties>
</file>