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7C" w:rsidRPr="00CE327C" w:rsidRDefault="00CE327C" w:rsidP="00CE327C">
      <w:pPr>
        <w:keepNext/>
        <w:keepLines/>
        <w:spacing w:before="1200" w:after="199"/>
        <w:outlineLvl w:val="0"/>
        <w:rPr>
          <w:rFonts w:eastAsia="Calibri" w:cs="Calibri"/>
          <w:noProof/>
          <w:color w:val="auto"/>
          <w:sz w:val="60"/>
          <w:szCs w:val="60"/>
        </w:rPr>
      </w:pPr>
      <w:r>
        <w:rPr>
          <w:b/>
          <w:color w:val="auto"/>
          <w:sz w:val="60"/>
          <w:szCs w:val="60"/>
        </w:rPr>
        <w:t>L'accessibilité pour les Manitobains : tout le monde en profite</w:t>
      </w:r>
    </w:p>
    <w:p w:rsidR="00CE327C" w:rsidRPr="00CE327C" w:rsidRDefault="00CE327C" w:rsidP="00CE327C">
      <w:pPr>
        <w:pStyle w:val="Heading1"/>
        <w:pBdr>
          <w:bottom w:val="single" w:sz="12" w:space="1" w:color="auto"/>
        </w:pBdr>
        <w:spacing w:before="720"/>
        <w:rPr>
          <w:b w:val="0"/>
          <w:noProof/>
          <w:color w:val="auto"/>
        </w:rPr>
      </w:pPr>
      <w:r>
        <w:rPr>
          <w:color w:val="auto"/>
        </w:rPr>
        <w:t>Formation sur l'accessibilité du service à la clientèle</w:t>
      </w:r>
    </w:p>
    <w:p w:rsidR="00534500" w:rsidRDefault="00CE327C" w:rsidP="00CE327C">
      <w:pPr>
        <w:spacing w:before="600"/>
        <w:rPr>
          <w:color w:val="auto"/>
          <w:sz w:val="40"/>
          <w:szCs w:val="40"/>
        </w:rPr>
      </w:pPr>
      <w:r>
        <w:rPr>
          <w:color w:val="auto"/>
          <w:sz w:val="40"/>
          <w:szCs w:val="40"/>
        </w:rPr>
        <w:t>Vérification des connaissances pour les apprenants</w:t>
      </w:r>
    </w:p>
    <w:p w:rsidR="00CE327C" w:rsidRPr="00CE327C" w:rsidRDefault="00CE327C" w:rsidP="00CE327C">
      <w:pPr>
        <w:spacing w:before="600"/>
        <w:rPr>
          <w:noProof/>
          <w:color w:val="auto"/>
          <w:sz w:val="40"/>
          <w:szCs w:val="40"/>
        </w:rPr>
      </w:pPr>
      <w:r>
        <w:rPr>
          <w:color w:val="auto"/>
          <w:sz w:val="40"/>
          <w:szCs w:val="40"/>
        </w:rPr>
        <w:br w:type="page"/>
      </w:r>
    </w:p>
    <w:p w:rsidR="00CE327C" w:rsidRPr="00CE327C" w:rsidRDefault="00CE327C" w:rsidP="00CE327C">
      <w:pPr>
        <w:keepNext/>
        <w:keepLines/>
        <w:spacing w:after="199"/>
        <w:outlineLvl w:val="0"/>
        <w:rPr>
          <w:rFonts w:eastAsia="Calibri" w:cs="Calibri"/>
          <w:noProof/>
          <w:color w:val="auto"/>
          <w:sz w:val="60"/>
          <w:szCs w:val="60"/>
        </w:rPr>
      </w:pPr>
      <w:r>
        <w:rPr>
          <w:b/>
          <w:color w:val="auto"/>
          <w:sz w:val="60"/>
          <w:szCs w:val="60"/>
        </w:rPr>
        <w:lastRenderedPageBreak/>
        <w:t>Formation sur l'accessibilité du service à la clientèle : vérification des connaissances</w:t>
      </w:r>
    </w:p>
    <w:p w:rsidR="00CE327C" w:rsidRPr="00CE327C" w:rsidRDefault="00CE327C" w:rsidP="00A24C54">
      <w:pPr>
        <w:pStyle w:val="Heading2"/>
        <w:pBdr>
          <w:top w:val="single" w:sz="12" w:space="1" w:color="auto"/>
          <w:bottom w:val="single" w:sz="12" w:space="1" w:color="auto"/>
        </w:pBdr>
        <w:spacing w:before="360"/>
        <w:rPr>
          <w:b w:val="0"/>
          <w:noProof/>
          <w:color w:val="auto"/>
        </w:rPr>
      </w:pPr>
      <w:r>
        <w:rPr>
          <w:color w:val="auto"/>
        </w:rPr>
        <w:t>Introduction</w:t>
      </w:r>
    </w:p>
    <w:p w:rsidR="00CE327C" w:rsidRPr="00CE327C" w:rsidRDefault="00CE327C" w:rsidP="00CE327C">
      <w:pPr>
        <w:spacing w:before="240" w:after="160" w:line="276" w:lineRule="auto"/>
        <w:rPr>
          <w:rFonts w:eastAsia="Calibri" w:cs="Arial"/>
          <w:noProof/>
          <w:color w:val="auto"/>
        </w:rPr>
      </w:pPr>
      <w:r>
        <w:rPr>
          <w:color w:val="auto"/>
        </w:rPr>
        <w:t xml:space="preserve">Le </w:t>
      </w:r>
      <w:hyperlink r:id="rId8" w:history="1">
        <w:r>
          <w:rPr>
            <w:color w:val="auto"/>
            <w:u w:val="single"/>
          </w:rPr>
          <w:t>Règlement sur les normes de service à la clientèle</w:t>
        </w:r>
      </w:hyperlink>
      <w:r>
        <w:rPr>
          <w:color w:val="auto"/>
        </w:rPr>
        <w:t xml:space="preserve"> oblige tous les organismes comptant au moins un employé à fournir une formation qui inclut :</w:t>
      </w:r>
    </w:p>
    <w:p w:rsidR="00CE327C" w:rsidRPr="00CE327C" w:rsidRDefault="00CE327C" w:rsidP="00CE327C">
      <w:pPr>
        <w:numPr>
          <w:ilvl w:val="2"/>
          <w:numId w:val="1"/>
        </w:numPr>
        <w:tabs>
          <w:tab w:val="left" w:pos="567"/>
        </w:tabs>
        <w:spacing w:after="120" w:line="276" w:lineRule="auto"/>
        <w:ind w:left="567" w:hanging="283"/>
        <w:rPr>
          <w:rFonts w:eastAsia="Calibri" w:cs="Arial"/>
          <w:noProof/>
          <w:color w:val="auto"/>
        </w:rPr>
      </w:pPr>
      <w:proofErr w:type="gramStart"/>
      <w:r>
        <w:rPr>
          <w:color w:val="auto"/>
        </w:rPr>
        <w:t>un</w:t>
      </w:r>
      <w:proofErr w:type="gramEnd"/>
      <w:r>
        <w:rPr>
          <w:color w:val="auto"/>
        </w:rPr>
        <w:t xml:space="preserve"> aperçu de la Loi sur l’accessibilité pour les Manitobains, du Code des droits de la personne (Manitoba), du Règlement sur les normes de service à la clientèle, et de leurs politiques et pratiques connexes</w:t>
      </w:r>
    </w:p>
    <w:p w:rsidR="00CE327C" w:rsidRPr="00CE327C" w:rsidRDefault="00CE327C" w:rsidP="00CE327C">
      <w:pPr>
        <w:numPr>
          <w:ilvl w:val="2"/>
          <w:numId w:val="1"/>
        </w:numPr>
        <w:tabs>
          <w:tab w:val="left" w:pos="567"/>
        </w:tabs>
        <w:spacing w:after="120" w:line="276" w:lineRule="auto"/>
        <w:ind w:left="567" w:hanging="283"/>
        <w:rPr>
          <w:rFonts w:eastAsia="Calibri" w:cs="Arial"/>
          <w:noProof/>
          <w:color w:val="auto"/>
        </w:rPr>
      </w:pPr>
      <w:proofErr w:type="gramStart"/>
      <w:r>
        <w:rPr>
          <w:color w:val="auto"/>
        </w:rPr>
        <w:t>des</w:t>
      </w:r>
      <w:proofErr w:type="gramEnd"/>
      <w:r>
        <w:rPr>
          <w:color w:val="auto"/>
        </w:rPr>
        <w:t xml:space="preserve"> directives sur la façon d'interagir et de communiquer avec les personnes victimes de barrières, y compris celles qui utilisent des dispositifs d'assistance ou qui ont besoin de l'aide d'un animal d'assistance ou d'une personne de confiance</w:t>
      </w:r>
    </w:p>
    <w:p w:rsidR="00CE327C" w:rsidRPr="00CE327C" w:rsidRDefault="00CE327C" w:rsidP="00CE327C">
      <w:pPr>
        <w:numPr>
          <w:ilvl w:val="2"/>
          <w:numId w:val="1"/>
        </w:numPr>
        <w:tabs>
          <w:tab w:val="left" w:pos="567"/>
        </w:tabs>
        <w:spacing w:after="120" w:line="276" w:lineRule="auto"/>
        <w:ind w:left="567" w:hanging="283"/>
        <w:rPr>
          <w:rFonts w:eastAsia="Calibri" w:cs="Arial"/>
          <w:noProof/>
          <w:color w:val="auto"/>
        </w:rPr>
      </w:pPr>
      <w:proofErr w:type="gramStart"/>
      <w:r>
        <w:rPr>
          <w:color w:val="auto"/>
        </w:rPr>
        <w:t>des</w:t>
      </w:r>
      <w:proofErr w:type="gramEnd"/>
      <w:r>
        <w:rPr>
          <w:color w:val="auto"/>
        </w:rPr>
        <w:t xml:space="preserve"> directives sur la manière d'utiliser le matériel ou les dispositifs d'assistance offerts sur place (par exemple, un ordinateur public)</w:t>
      </w:r>
    </w:p>
    <w:p w:rsidR="00CE327C" w:rsidRPr="00CE327C" w:rsidRDefault="00CE327C" w:rsidP="00CE327C">
      <w:pPr>
        <w:spacing w:before="240" w:line="276" w:lineRule="auto"/>
        <w:rPr>
          <w:rFonts w:eastAsia="Times New Roman" w:cs="Arial"/>
          <w:noProof/>
          <w:color w:val="auto"/>
          <w:highlight w:val="yellow"/>
        </w:rPr>
      </w:pPr>
      <w:r>
        <w:rPr>
          <w:color w:val="auto"/>
        </w:rPr>
        <w:t>Cette formation est conçue pour aider les organismes et les entreprises à respecter leurs obligations de formation en vertu du Règlement sur les normes de service à la clientèle. En plus de suivre cette formation, veuillez examiner les politiques, mesures et pratiques que votre organisme a mises en place pour respecter la législation du Manitoba en matière d’accessibilité.</w:t>
      </w:r>
    </w:p>
    <w:p w:rsidR="00CE327C" w:rsidRPr="00CE327C" w:rsidRDefault="00CE327C" w:rsidP="00CE327C">
      <w:pPr>
        <w:spacing w:before="240" w:after="160" w:line="276" w:lineRule="auto"/>
        <w:rPr>
          <w:rFonts w:eastAsia="Calibri" w:cs="Arial"/>
          <w:noProof/>
          <w:color w:val="auto"/>
        </w:rPr>
      </w:pPr>
      <w:r>
        <w:rPr>
          <w:color w:val="auto"/>
        </w:rPr>
        <w:t xml:space="preserve">Pour connaître les outils mentionnés ici, et bien d'autres ressources en formats PDF et Word, visitez </w:t>
      </w:r>
      <w:hyperlink r:id="rId9" w:history="1">
        <w:r>
          <w:rPr>
            <w:color w:val="auto"/>
            <w:u w:val="single"/>
          </w:rPr>
          <w:t>accessibilitymb.ca/index.fr.html</w:t>
        </w:r>
      </w:hyperlink>
      <w:r>
        <w:rPr>
          <w:color w:val="auto"/>
        </w:rPr>
        <w:t>.</w:t>
      </w:r>
    </w:p>
    <w:p w:rsidR="00534500" w:rsidRDefault="00CE327C" w:rsidP="00CE327C">
      <w:pPr>
        <w:spacing w:line="276" w:lineRule="auto"/>
        <w:rPr>
          <w:color w:val="auto"/>
        </w:rPr>
      </w:pPr>
      <w:r>
        <w:rPr>
          <w:color w:val="auto"/>
        </w:rPr>
        <w:t>La vérification des connaissances pour les apprenants a été élaborée pour aider les apprenants à tester leurs connaissances du matériel qui leur a été fourni. Toute personne qui suit la formation peut utiliser ce document à son propre rythme.</w:t>
      </w:r>
    </w:p>
    <w:p w:rsidR="00CE327C" w:rsidRPr="00CE327C" w:rsidRDefault="00CE327C" w:rsidP="00CE327C">
      <w:pPr>
        <w:spacing w:line="276" w:lineRule="auto"/>
        <w:rPr>
          <w:rFonts w:eastAsia="Calibri" w:cs="Arial"/>
          <w:noProof/>
          <w:color w:val="auto"/>
        </w:rPr>
      </w:pPr>
      <w:r>
        <w:rPr>
          <w:color w:val="auto"/>
        </w:rPr>
        <w:br w:type="page"/>
      </w:r>
    </w:p>
    <w:p w:rsidR="00CE327C" w:rsidRPr="00CE327C" w:rsidRDefault="00CE327C" w:rsidP="00A24C54">
      <w:pPr>
        <w:pStyle w:val="Heading2"/>
        <w:pBdr>
          <w:top w:val="single" w:sz="12" w:space="1" w:color="auto"/>
          <w:bottom w:val="single" w:sz="12" w:space="1" w:color="auto"/>
        </w:pBdr>
        <w:spacing w:before="360"/>
        <w:rPr>
          <w:b w:val="0"/>
          <w:noProof/>
          <w:color w:val="auto"/>
        </w:rPr>
      </w:pPr>
      <w:r>
        <w:rPr>
          <w:color w:val="auto"/>
        </w:rPr>
        <w:lastRenderedPageBreak/>
        <w:t>Note destinée à l'apprenant :</w:t>
      </w:r>
    </w:p>
    <w:p w:rsidR="00CE327C" w:rsidRPr="00CE327C" w:rsidRDefault="00CE327C" w:rsidP="00CE327C">
      <w:pPr>
        <w:keepNext/>
        <w:keepLines/>
        <w:spacing w:before="240" w:line="276" w:lineRule="auto"/>
        <w:outlineLvl w:val="0"/>
        <w:rPr>
          <w:rFonts w:cs="Arial"/>
          <w:noProof/>
          <w:color w:val="auto"/>
        </w:rPr>
      </w:pPr>
      <w:r>
        <w:rPr>
          <w:i/>
          <w:color w:val="auto"/>
        </w:rPr>
        <w:t>L'accessibilité pour les Manitobains : tout le monde en profite</w:t>
      </w:r>
      <w:r>
        <w:rPr>
          <w:color w:val="auto"/>
        </w:rPr>
        <w:t xml:space="preserve"> offre une formation de base sur les dispositions législatives du Manitoba en matière d’accessibilité et sur les façons d’offrir un service à la clientèle qui est accessible. La formation se présente sous la forme d’un exposé oral en PowerPoint avec transcription.</w:t>
      </w:r>
    </w:p>
    <w:p w:rsidR="00CE327C" w:rsidRPr="00CE327C" w:rsidRDefault="00CE327C" w:rsidP="00CE327C">
      <w:pPr>
        <w:keepNext/>
        <w:keepLines/>
        <w:spacing w:before="240" w:line="276" w:lineRule="auto"/>
        <w:outlineLvl w:val="0"/>
        <w:rPr>
          <w:rFonts w:eastAsia="Calibri" w:cs="Arial"/>
          <w:noProof/>
          <w:color w:val="auto"/>
        </w:rPr>
      </w:pPr>
      <w:r>
        <w:rPr>
          <w:color w:val="auto"/>
        </w:rPr>
        <w:t>Vous pouvez suivre cette formation individuellement en 40 minutes environ. Elle est divisée en quatre modules :</w:t>
      </w:r>
    </w:p>
    <w:p w:rsidR="00CE327C" w:rsidRPr="00CE327C" w:rsidRDefault="00CE327C" w:rsidP="00CE327C">
      <w:pPr>
        <w:numPr>
          <w:ilvl w:val="0"/>
          <w:numId w:val="2"/>
        </w:numPr>
        <w:spacing w:before="360" w:line="276" w:lineRule="auto"/>
        <w:ind w:left="851" w:firstLine="272"/>
        <w:rPr>
          <w:rFonts w:eastAsia="Times New Roman" w:cs="Arial"/>
          <w:noProof/>
          <w:color w:val="auto"/>
        </w:rPr>
      </w:pPr>
      <w:r>
        <w:rPr>
          <w:color w:val="auto"/>
        </w:rPr>
        <w:t>Comprendre les barrières à l'accessibilité</w:t>
      </w:r>
    </w:p>
    <w:p w:rsidR="00CE327C" w:rsidRPr="00CE327C" w:rsidRDefault="00CE327C" w:rsidP="00CE327C">
      <w:pPr>
        <w:numPr>
          <w:ilvl w:val="0"/>
          <w:numId w:val="2"/>
        </w:numPr>
        <w:spacing w:after="160" w:line="276" w:lineRule="auto"/>
        <w:ind w:left="851" w:firstLine="273"/>
        <w:contextualSpacing/>
        <w:rPr>
          <w:rFonts w:eastAsia="Times New Roman" w:cs="Arial"/>
          <w:noProof/>
          <w:color w:val="auto"/>
        </w:rPr>
      </w:pPr>
      <w:r>
        <w:rPr>
          <w:color w:val="auto"/>
        </w:rPr>
        <w:t>Législation manitobaine sur l'accessibilité</w:t>
      </w:r>
    </w:p>
    <w:p w:rsidR="00CE327C" w:rsidRPr="00CE327C" w:rsidRDefault="00CE327C" w:rsidP="00CE327C">
      <w:pPr>
        <w:numPr>
          <w:ilvl w:val="0"/>
          <w:numId w:val="2"/>
        </w:numPr>
        <w:spacing w:after="160" w:line="276" w:lineRule="auto"/>
        <w:ind w:left="851" w:firstLine="273"/>
        <w:contextualSpacing/>
        <w:rPr>
          <w:rFonts w:eastAsia="Times New Roman" w:cs="Arial"/>
          <w:noProof/>
          <w:color w:val="auto"/>
        </w:rPr>
      </w:pPr>
      <w:r>
        <w:rPr>
          <w:color w:val="auto"/>
        </w:rPr>
        <w:t>Comment offrir un service accessible, comme l'exige la loi</w:t>
      </w:r>
    </w:p>
    <w:p w:rsidR="00CE327C" w:rsidRPr="00CE327C" w:rsidRDefault="00CE327C" w:rsidP="00CE327C">
      <w:pPr>
        <w:numPr>
          <w:ilvl w:val="0"/>
          <w:numId w:val="2"/>
        </w:numPr>
        <w:spacing w:after="160" w:line="276" w:lineRule="auto"/>
        <w:ind w:left="851" w:firstLine="273"/>
        <w:contextualSpacing/>
        <w:rPr>
          <w:rFonts w:eastAsia="Times New Roman" w:cs="Arial"/>
          <w:noProof/>
          <w:color w:val="auto"/>
        </w:rPr>
      </w:pPr>
      <w:r>
        <w:rPr>
          <w:color w:val="auto"/>
        </w:rPr>
        <w:t>Conseils permettant d’assurer l'accessibilité pour les gens que vous servez</w:t>
      </w:r>
    </w:p>
    <w:p w:rsidR="00CE327C" w:rsidRPr="00CE327C" w:rsidRDefault="00CE327C" w:rsidP="00CE327C">
      <w:pPr>
        <w:spacing w:before="100" w:beforeAutospacing="1" w:line="276" w:lineRule="auto"/>
        <w:rPr>
          <w:rFonts w:eastAsia="Calibri" w:cs="Arial"/>
          <w:noProof/>
          <w:color w:val="auto"/>
        </w:rPr>
      </w:pPr>
      <w:proofErr w:type="spellStart"/>
      <w:r>
        <w:rPr>
          <w:color w:val="auto"/>
        </w:rPr>
        <w:t>Veuillez vous</w:t>
      </w:r>
      <w:proofErr w:type="spellEnd"/>
      <w:r>
        <w:rPr>
          <w:color w:val="auto"/>
        </w:rPr>
        <w:t xml:space="preserve"> adresser au Bureau des personnes handicapées pour obtenir d’autres renseignements ou pour recevoir ce matériel en médias substituts : </w:t>
      </w:r>
      <w:hyperlink r:id="rId10" w:history="1">
        <w:r>
          <w:rPr>
            <w:color w:val="auto"/>
            <w:u w:val="single"/>
          </w:rPr>
          <w:t>DIO@gov.mb.ca</w:t>
        </w:r>
      </w:hyperlink>
      <w:r>
        <w:rPr>
          <w:color w:val="auto"/>
        </w:rPr>
        <w:t xml:space="preserve"> ou 204 945-7613.</w:t>
      </w:r>
    </w:p>
    <w:p w:rsidR="00534500" w:rsidRDefault="00CE327C" w:rsidP="00CE327C">
      <w:pPr>
        <w:spacing w:before="360" w:line="276" w:lineRule="auto"/>
        <w:rPr>
          <w:color w:val="auto"/>
        </w:rPr>
      </w:pPr>
      <w:r>
        <w:rPr>
          <w:color w:val="auto"/>
        </w:rPr>
        <w:t>Désaveu de responsabilité : Ce document de formation n'est pas un avis juridique. Il a été conçu pour aider les organismes à respecter les obligations de base en matière de formation prévues par le Règlement sur les normes de service à la clientèle du Manitoba. La formation ne remplace pas le contenu de ce règlement ni celui de la Loi sur l'accessibilité pour les Manitobains. En cas de conflit entre ce document de formation et le règlement ou la loi, ce sont les deux derniers textes qui prévalent.</w:t>
      </w:r>
    </w:p>
    <w:p w:rsidR="00CE327C" w:rsidRPr="00CE327C" w:rsidRDefault="00CE327C" w:rsidP="00CE327C">
      <w:pPr>
        <w:spacing w:before="360" w:line="276" w:lineRule="auto"/>
        <w:rPr>
          <w:rFonts w:eastAsia="Calibri" w:cs="Arial"/>
          <w:noProof/>
          <w:color w:val="auto"/>
        </w:rPr>
      </w:pPr>
      <w:r>
        <w:rPr>
          <w:color w:val="auto"/>
        </w:rPr>
        <w:br w:type="page"/>
      </w:r>
    </w:p>
    <w:p w:rsidR="00CE327C" w:rsidRPr="00CE327C" w:rsidRDefault="00CE327C" w:rsidP="00A24C54">
      <w:pPr>
        <w:pStyle w:val="Heading2"/>
        <w:pBdr>
          <w:top w:val="single" w:sz="12" w:space="1" w:color="auto"/>
          <w:bottom w:val="single" w:sz="12" w:space="1" w:color="auto"/>
        </w:pBdr>
        <w:spacing w:before="360"/>
        <w:rPr>
          <w:b w:val="0"/>
          <w:noProof/>
          <w:color w:val="auto"/>
        </w:rPr>
      </w:pPr>
      <w:r>
        <w:rPr>
          <w:color w:val="auto"/>
        </w:rPr>
        <w:lastRenderedPageBreak/>
        <w:t>Module 1 : Comprendre les barrières à l'accessibilité</w:t>
      </w:r>
    </w:p>
    <w:p w:rsidR="00CE327C" w:rsidRPr="00CE327C" w:rsidRDefault="00CE327C" w:rsidP="00CE327C">
      <w:pPr>
        <w:spacing w:before="240" w:line="276" w:lineRule="auto"/>
        <w:rPr>
          <w:rFonts w:eastAsia="Calibri"/>
          <w:noProof/>
          <w:color w:val="auto"/>
          <w:szCs w:val="28"/>
        </w:rPr>
      </w:pPr>
      <w:r>
        <w:rPr>
          <w:color w:val="auto"/>
          <w:szCs w:val="28"/>
        </w:rPr>
        <w:t xml:space="preserve">Il existe de nombreux types de barrières auxquelles se heurtent les personnes handicapées. La plupart sont invisibles. Pour d'autres renseignements, y compris des solutions aux barrières, consultez la liste des </w:t>
      </w:r>
      <w:hyperlink r:id="rId11" w:history="1">
        <w:r>
          <w:rPr>
            <w:rStyle w:val="Hyperlink"/>
            <w:color w:val="auto"/>
            <w:sz w:val="28"/>
            <w:szCs w:val="28"/>
          </w:rPr>
          <w:t>barrières et solutions possibles</w:t>
        </w:r>
      </w:hyperlink>
      <w:r>
        <w:rPr>
          <w:color w:val="auto"/>
          <w:szCs w:val="28"/>
        </w:rPr>
        <w:t>.</w:t>
      </w:r>
    </w:p>
    <w:p w:rsidR="00CE327C" w:rsidRPr="00CE327C" w:rsidRDefault="00CE327C" w:rsidP="00CE327C">
      <w:pPr>
        <w:pStyle w:val="Heading3"/>
        <w:spacing w:before="480" w:after="120" w:line="276" w:lineRule="auto"/>
        <w:ind w:left="11" w:hanging="11"/>
        <w:rPr>
          <w:b w:val="0"/>
          <w:noProof/>
          <w:color w:val="auto"/>
        </w:rPr>
      </w:pPr>
      <w:r>
        <w:rPr>
          <w:color w:val="auto"/>
        </w:rPr>
        <w:t>Passez en revue les questions</w:t>
      </w:r>
    </w:p>
    <w:p w:rsidR="00CE327C" w:rsidRPr="00CE327C" w:rsidRDefault="00CE327C" w:rsidP="00CE327C">
      <w:pPr>
        <w:pStyle w:val="ListParagraph"/>
        <w:numPr>
          <w:ilvl w:val="0"/>
          <w:numId w:val="9"/>
        </w:numPr>
        <w:spacing w:before="360" w:after="120" w:line="276" w:lineRule="auto"/>
        <w:ind w:left="851" w:hanging="425"/>
        <w:contextualSpacing w:val="0"/>
        <w:rPr>
          <w:noProof/>
          <w:color w:val="auto"/>
          <w:szCs w:val="28"/>
        </w:rPr>
      </w:pPr>
      <w:r>
        <w:rPr>
          <w:color w:val="auto"/>
          <w:szCs w:val="28"/>
        </w:rPr>
        <w:t>Quelles sont, parmi les barrières suivantes, celles auxquelles se heurtent les Manitobains handicapés?</w:t>
      </w:r>
    </w:p>
    <w:p w:rsidR="00CE327C" w:rsidRPr="00CE327C" w:rsidRDefault="00CE327C" w:rsidP="00CE327C">
      <w:pPr>
        <w:pStyle w:val="ListParagraph"/>
        <w:numPr>
          <w:ilvl w:val="1"/>
          <w:numId w:val="9"/>
        </w:numPr>
        <w:spacing w:after="120" w:line="276" w:lineRule="auto"/>
        <w:ind w:left="1434" w:hanging="357"/>
        <w:contextualSpacing w:val="0"/>
        <w:rPr>
          <w:noProof/>
          <w:color w:val="auto"/>
          <w:szCs w:val="28"/>
        </w:rPr>
      </w:pPr>
      <w:proofErr w:type="gramStart"/>
      <w:r>
        <w:rPr>
          <w:color w:val="auto"/>
          <w:szCs w:val="28"/>
        </w:rPr>
        <w:t>les</w:t>
      </w:r>
      <w:proofErr w:type="gramEnd"/>
      <w:r>
        <w:rPr>
          <w:color w:val="auto"/>
          <w:szCs w:val="28"/>
        </w:rPr>
        <w:t xml:space="preserve"> barrières comportementales, y compris les stéréotypes et les présomptions</w:t>
      </w:r>
    </w:p>
    <w:p w:rsidR="00CE327C" w:rsidRPr="00CE327C" w:rsidRDefault="00CE327C" w:rsidP="00CE327C">
      <w:pPr>
        <w:pStyle w:val="ListParagraph"/>
        <w:numPr>
          <w:ilvl w:val="1"/>
          <w:numId w:val="9"/>
        </w:numPr>
        <w:spacing w:after="120" w:line="276" w:lineRule="auto"/>
        <w:ind w:left="1434" w:hanging="357"/>
        <w:contextualSpacing w:val="0"/>
        <w:rPr>
          <w:noProof/>
          <w:color w:val="auto"/>
          <w:szCs w:val="28"/>
        </w:rPr>
      </w:pPr>
      <w:proofErr w:type="gramStart"/>
      <w:r>
        <w:rPr>
          <w:color w:val="auto"/>
          <w:szCs w:val="28"/>
        </w:rPr>
        <w:t>les</w:t>
      </w:r>
      <w:proofErr w:type="gramEnd"/>
      <w:r>
        <w:rPr>
          <w:color w:val="auto"/>
          <w:szCs w:val="28"/>
        </w:rPr>
        <w:t xml:space="preserve"> barrières physiques qui empêchent les personnes d'avoir accès à vos services</w:t>
      </w:r>
    </w:p>
    <w:p w:rsidR="00CE327C" w:rsidRPr="00CE327C" w:rsidRDefault="00CE327C" w:rsidP="00CE327C">
      <w:pPr>
        <w:pStyle w:val="ListParagraph"/>
        <w:numPr>
          <w:ilvl w:val="1"/>
          <w:numId w:val="9"/>
        </w:numPr>
        <w:spacing w:after="120" w:line="276" w:lineRule="auto"/>
        <w:ind w:left="1434" w:hanging="357"/>
        <w:contextualSpacing w:val="0"/>
        <w:rPr>
          <w:noProof/>
          <w:color w:val="auto"/>
          <w:szCs w:val="28"/>
        </w:rPr>
      </w:pPr>
      <w:proofErr w:type="gramStart"/>
      <w:r>
        <w:rPr>
          <w:color w:val="auto"/>
          <w:szCs w:val="28"/>
        </w:rPr>
        <w:t>les</w:t>
      </w:r>
      <w:proofErr w:type="gramEnd"/>
      <w:r>
        <w:rPr>
          <w:color w:val="auto"/>
          <w:szCs w:val="28"/>
        </w:rPr>
        <w:t xml:space="preserve"> barrières à la communication</w:t>
      </w:r>
    </w:p>
    <w:p w:rsidR="00CE327C" w:rsidRPr="00CE327C" w:rsidRDefault="00CE327C" w:rsidP="00CE327C">
      <w:pPr>
        <w:pStyle w:val="ListParagraph"/>
        <w:numPr>
          <w:ilvl w:val="1"/>
          <w:numId w:val="9"/>
        </w:numPr>
        <w:spacing w:after="120" w:line="276" w:lineRule="auto"/>
        <w:ind w:left="1434" w:hanging="357"/>
        <w:contextualSpacing w:val="0"/>
        <w:jc w:val="both"/>
        <w:rPr>
          <w:noProof/>
          <w:color w:val="auto"/>
          <w:szCs w:val="28"/>
        </w:rPr>
      </w:pPr>
      <w:proofErr w:type="gramStart"/>
      <w:r>
        <w:rPr>
          <w:color w:val="auto"/>
          <w:szCs w:val="28"/>
        </w:rPr>
        <w:t>les</w:t>
      </w:r>
      <w:proofErr w:type="gramEnd"/>
      <w:r>
        <w:rPr>
          <w:color w:val="auto"/>
          <w:szCs w:val="28"/>
        </w:rPr>
        <w:t xml:space="preserve"> barrières techniques</w:t>
      </w:r>
    </w:p>
    <w:p w:rsidR="00CE327C" w:rsidRPr="00CE327C" w:rsidRDefault="00CE327C" w:rsidP="00CE327C">
      <w:pPr>
        <w:pStyle w:val="ListParagraph"/>
        <w:numPr>
          <w:ilvl w:val="1"/>
          <w:numId w:val="9"/>
        </w:numPr>
        <w:spacing w:after="120" w:line="276" w:lineRule="auto"/>
        <w:ind w:left="1434" w:hanging="357"/>
        <w:contextualSpacing w:val="0"/>
        <w:jc w:val="both"/>
        <w:rPr>
          <w:noProof/>
          <w:color w:val="auto"/>
          <w:szCs w:val="28"/>
        </w:rPr>
      </w:pPr>
      <w:proofErr w:type="gramStart"/>
      <w:r>
        <w:rPr>
          <w:color w:val="auto"/>
          <w:szCs w:val="28"/>
        </w:rPr>
        <w:t>les</w:t>
      </w:r>
      <w:proofErr w:type="gramEnd"/>
      <w:r>
        <w:rPr>
          <w:color w:val="auto"/>
          <w:szCs w:val="28"/>
        </w:rPr>
        <w:t xml:space="preserve"> barrières systémiques</w:t>
      </w:r>
    </w:p>
    <w:p w:rsidR="00CE327C" w:rsidRPr="00CE327C" w:rsidRDefault="00CE327C" w:rsidP="00CE327C">
      <w:pPr>
        <w:pStyle w:val="ListParagraph"/>
        <w:numPr>
          <w:ilvl w:val="1"/>
          <w:numId w:val="9"/>
        </w:numPr>
        <w:spacing w:after="120" w:line="276" w:lineRule="auto"/>
        <w:ind w:left="1434" w:hanging="357"/>
        <w:contextualSpacing w:val="0"/>
        <w:jc w:val="both"/>
        <w:rPr>
          <w:noProof/>
          <w:color w:val="auto"/>
          <w:szCs w:val="28"/>
        </w:rPr>
      </w:pPr>
      <w:proofErr w:type="gramStart"/>
      <w:r>
        <w:rPr>
          <w:color w:val="auto"/>
          <w:szCs w:val="28"/>
        </w:rPr>
        <w:t>toutes</w:t>
      </w:r>
      <w:proofErr w:type="gramEnd"/>
      <w:r>
        <w:rPr>
          <w:color w:val="auto"/>
          <w:szCs w:val="28"/>
        </w:rPr>
        <w:t xml:space="preserve"> ces réponses</w:t>
      </w:r>
    </w:p>
    <w:p w:rsidR="00CE327C" w:rsidRPr="00CE327C" w:rsidRDefault="00CE327C" w:rsidP="00CE327C">
      <w:pPr>
        <w:pStyle w:val="ListParagraph"/>
        <w:numPr>
          <w:ilvl w:val="0"/>
          <w:numId w:val="9"/>
        </w:numPr>
        <w:spacing w:before="360" w:after="120" w:line="276" w:lineRule="auto"/>
        <w:ind w:left="851" w:hanging="425"/>
        <w:contextualSpacing w:val="0"/>
        <w:jc w:val="both"/>
        <w:rPr>
          <w:noProof/>
          <w:color w:val="auto"/>
          <w:szCs w:val="28"/>
        </w:rPr>
      </w:pPr>
      <w:r>
        <w:rPr>
          <w:color w:val="auto"/>
          <w:szCs w:val="28"/>
        </w:rPr>
        <w:t>Qu’est-ce qui constitue la plus grosse barrière pour les personnes handicapées?</w:t>
      </w:r>
    </w:p>
    <w:p w:rsidR="00CE327C" w:rsidRPr="00CE327C" w:rsidRDefault="00CE327C" w:rsidP="00CE327C">
      <w:pPr>
        <w:pStyle w:val="ListParagraph"/>
        <w:numPr>
          <w:ilvl w:val="1"/>
          <w:numId w:val="9"/>
        </w:numPr>
        <w:spacing w:after="120" w:line="276" w:lineRule="auto"/>
        <w:ind w:left="1434" w:hanging="357"/>
        <w:contextualSpacing w:val="0"/>
        <w:jc w:val="both"/>
        <w:rPr>
          <w:noProof/>
          <w:color w:val="auto"/>
          <w:szCs w:val="28"/>
        </w:rPr>
      </w:pPr>
      <w:proofErr w:type="gramStart"/>
      <w:r>
        <w:rPr>
          <w:color w:val="auto"/>
          <w:szCs w:val="28"/>
        </w:rPr>
        <w:t>les</w:t>
      </w:r>
      <w:proofErr w:type="gramEnd"/>
      <w:r>
        <w:rPr>
          <w:color w:val="auto"/>
          <w:szCs w:val="28"/>
        </w:rPr>
        <w:t xml:space="preserve"> barrières comportementales, y compris les stéréotypes et les présomptions</w:t>
      </w:r>
    </w:p>
    <w:p w:rsidR="00CE327C" w:rsidRPr="00CE327C" w:rsidRDefault="00CE327C" w:rsidP="00CE327C">
      <w:pPr>
        <w:pStyle w:val="ListParagraph"/>
        <w:numPr>
          <w:ilvl w:val="1"/>
          <w:numId w:val="9"/>
        </w:numPr>
        <w:spacing w:after="120" w:line="276" w:lineRule="auto"/>
        <w:ind w:left="1434" w:hanging="357"/>
        <w:contextualSpacing w:val="0"/>
        <w:jc w:val="both"/>
        <w:rPr>
          <w:noProof/>
          <w:color w:val="auto"/>
          <w:szCs w:val="28"/>
        </w:rPr>
      </w:pPr>
      <w:proofErr w:type="gramStart"/>
      <w:r>
        <w:rPr>
          <w:color w:val="auto"/>
          <w:szCs w:val="28"/>
        </w:rPr>
        <w:t>les</w:t>
      </w:r>
      <w:proofErr w:type="gramEnd"/>
      <w:r>
        <w:rPr>
          <w:color w:val="auto"/>
          <w:szCs w:val="28"/>
        </w:rPr>
        <w:t xml:space="preserve"> barrières physiques qui empêchent les personnes d'avoir accès aux services</w:t>
      </w:r>
    </w:p>
    <w:p w:rsidR="00CE327C" w:rsidRPr="00CE327C" w:rsidRDefault="00CE327C" w:rsidP="00CE327C">
      <w:pPr>
        <w:pStyle w:val="ListParagraph"/>
        <w:numPr>
          <w:ilvl w:val="1"/>
          <w:numId w:val="9"/>
        </w:numPr>
        <w:spacing w:after="120" w:line="276" w:lineRule="auto"/>
        <w:ind w:left="1434" w:hanging="357"/>
        <w:contextualSpacing w:val="0"/>
        <w:jc w:val="both"/>
        <w:rPr>
          <w:noProof/>
          <w:color w:val="auto"/>
          <w:szCs w:val="28"/>
        </w:rPr>
      </w:pPr>
      <w:proofErr w:type="gramStart"/>
      <w:r>
        <w:rPr>
          <w:color w:val="auto"/>
          <w:szCs w:val="28"/>
        </w:rPr>
        <w:t>les</w:t>
      </w:r>
      <w:proofErr w:type="gramEnd"/>
      <w:r>
        <w:rPr>
          <w:color w:val="auto"/>
          <w:szCs w:val="28"/>
        </w:rPr>
        <w:t xml:space="preserve"> barrières à la communication</w:t>
      </w:r>
    </w:p>
    <w:p w:rsidR="00CE327C" w:rsidRPr="00CE327C" w:rsidRDefault="00CE327C" w:rsidP="00CE327C">
      <w:pPr>
        <w:pStyle w:val="ListParagraph"/>
        <w:numPr>
          <w:ilvl w:val="1"/>
          <w:numId w:val="9"/>
        </w:numPr>
        <w:spacing w:after="120" w:line="276" w:lineRule="auto"/>
        <w:ind w:left="1434" w:hanging="357"/>
        <w:contextualSpacing w:val="0"/>
        <w:jc w:val="both"/>
        <w:rPr>
          <w:noProof/>
          <w:color w:val="auto"/>
          <w:szCs w:val="28"/>
        </w:rPr>
      </w:pPr>
      <w:proofErr w:type="gramStart"/>
      <w:r>
        <w:rPr>
          <w:color w:val="auto"/>
          <w:szCs w:val="28"/>
        </w:rPr>
        <w:t>les</w:t>
      </w:r>
      <w:proofErr w:type="gramEnd"/>
      <w:r>
        <w:rPr>
          <w:color w:val="auto"/>
          <w:szCs w:val="28"/>
        </w:rPr>
        <w:t xml:space="preserve"> barrières techniques</w:t>
      </w:r>
    </w:p>
    <w:p w:rsidR="00CE327C" w:rsidRPr="00CE327C" w:rsidRDefault="00CE327C" w:rsidP="00CE327C">
      <w:pPr>
        <w:pStyle w:val="ListParagraph"/>
        <w:numPr>
          <w:ilvl w:val="1"/>
          <w:numId w:val="9"/>
        </w:numPr>
        <w:spacing w:after="120" w:line="276" w:lineRule="auto"/>
        <w:ind w:left="1434" w:hanging="357"/>
        <w:contextualSpacing w:val="0"/>
        <w:jc w:val="both"/>
        <w:rPr>
          <w:noProof/>
          <w:color w:val="auto"/>
          <w:szCs w:val="28"/>
        </w:rPr>
      </w:pPr>
      <w:proofErr w:type="gramStart"/>
      <w:r>
        <w:rPr>
          <w:color w:val="auto"/>
          <w:szCs w:val="28"/>
        </w:rPr>
        <w:t>les</w:t>
      </w:r>
      <w:proofErr w:type="gramEnd"/>
      <w:r>
        <w:rPr>
          <w:color w:val="auto"/>
          <w:szCs w:val="28"/>
        </w:rPr>
        <w:t xml:space="preserve"> barrières systémiques</w:t>
      </w:r>
    </w:p>
    <w:p w:rsidR="00CE327C" w:rsidRPr="00CE327C" w:rsidRDefault="00CE327C" w:rsidP="00CE327C">
      <w:pPr>
        <w:pStyle w:val="ListParagraph"/>
        <w:numPr>
          <w:ilvl w:val="0"/>
          <w:numId w:val="9"/>
        </w:numPr>
        <w:spacing w:before="240" w:after="240" w:line="276" w:lineRule="auto"/>
        <w:ind w:left="851" w:hanging="425"/>
        <w:contextualSpacing w:val="0"/>
        <w:jc w:val="both"/>
        <w:rPr>
          <w:rFonts w:cs="Arial"/>
          <w:noProof/>
          <w:color w:val="auto"/>
          <w:szCs w:val="28"/>
        </w:rPr>
      </w:pPr>
      <w:r>
        <w:rPr>
          <w:color w:val="auto"/>
          <w:szCs w:val="28"/>
        </w:rPr>
        <w:t>Est-il toujours évident qu’une personne se heurte à une barrière? Veuillez expliquer.</w:t>
      </w:r>
    </w:p>
    <w:p w:rsidR="00CE327C" w:rsidRPr="00CE327C" w:rsidRDefault="00CE327C" w:rsidP="00CE327C">
      <w:pPr>
        <w:spacing w:line="276" w:lineRule="auto"/>
        <w:jc w:val="both"/>
        <w:rPr>
          <w:noProof/>
          <w:color w:val="auto"/>
          <w:szCs w:val="28"/>
        </w:rPr>
      </w:pPr>
      <w:r>
        <w:br w:type="page"/>
      </w:r>
    </w:p>
    <w:p w:rsidR="00CE327C" w:rsidRPr="00CE327C" w:rsidRDefault="00CE327C" w:rsidP="00A24C54">
      <w:pPr>
        <w:pStyle w:val="Heading2"/>
        <w:pBdr>
          <w:top w:val="single" w:sz="12" w:space="1" w:color="auto"/>
          <w:bottom w:val="single" w:sz="12" w:space="1" w:color="auto"/>
        </w:pBdr>
        <w:spacing w:before="360"/>
        <w:rPr>
          <w:b w:val="0"/>
          <w:noProof/>
          <w:color w:val="auto"/>
        </w:rPr>
      </w:pPr>
      <w:r>
        <w:rPr>
          <w:color w:val="auto"/>
        </w:rPr>
        <w:lastRenderedPageBreak/>
        <w:t>Module 2 : Législation manitobaine sur l'accessibilité</w:t>
      </w:r>
    </w:p>
    <w:p w:rsidR="00CE327C" w:rsidRPr="00CE327C" w:rsidRDefault="00CE327C" w:rsidP="00CE327C">
      <w:pPr>
        <w:spacing w:before="240" w:line="276" w:lineRule="auto"/>
        <w:rPr>
          <w:rFonts w:cs="Arial"/>
          <w:noProof/>
          <w:color w:val="auto"/>
          <w:szCs w:val="28"/>
        </w:rPr>
      </w:pPr>
      <w:r>
        <w:rPr>
          <w:color w:val="auto"/>
          <w:szCs w:val="28"/>
        </w:rPr>
        <w:t xml:space="preserve">La Loi sur l’accessibilité pour les Manitobains (la Loi) fournit un cadre pour l’adoption de règlements appelés normes. Un Conseil consultatif de l'accessibilité a aidé à l’élaboration des normes pour le compte du gouvernement du Manitoba. Il est composé de représentants d’entreprises, de municipalités et d’organismes qui représentent les personnes handicapées. Chacune des normes a été élaborée en consultation avec le public. Pour plus de renseignements, visitez </w:t>
      </w:r>
      <w:hyperlink r:id="rId12" w:history="1">
        <w:r>
          <w:rPr>
            <w:rStyle w:val="Hyperlink"/>
            <w:color w:val="auto"/>
            <w:sz w:val="28"/>
            <w:szCs w:val="28"/>
          </w:rPr>
          <w:t>accessibilitymb.ca/law.fr.html</w:t>
        </w:r>
      </w:hyperlink>
      <w:r>
        <w:rPr>
          <w:color w:val="auto"/>
          <w:szCs w:val="28"/>
        </w:rPr>
        <w:t>.</w:t>
      </w:r>
    </w:p>
    <w:p w:rsidR="00CE327C" w:rsidRPr="00CE327C" w:rsidRDefault="00CE327C" w:rsidP="00CE327C">
      <w:pPr>
        <w:shd w:val="clear" w:color="auto" w:fill="FFFFFF"/>
        <w:spacing w:after="120" w:line="276" w:lineRule="auto"/>
        <w:ind w:left="568" w:hanging="284"/>
        <w:rPr>
          <w:rFonts w:eastAsia="Calibri" w:cs="Arial"/>
          <w:noProof/>
          <w:color w:val="auto"/>
          <w:sz w:val="2"/>
          <w:szCs w:val="2"/>
          <w:lang w:val="en-CA" w:eastAsia="en-CA"/>
        </w:rPr>
      </w:pPr>
    </w:p>
    <w:p w:rsidR="00CE327C" w:rsidRPr="00CE327C" w:rsidRDefault="00CE327C" w:rsidP="00CE327C">
      <w:pPr>
        <w:pStyle w:val="Heading3"/>
        <w:spacing w:before="480" w:after="120" w:line="276" w:lineRule="auto"/>
        <w:ind w:left="11" w:hanging="11"/>
        <w:rPr>
          <w:b w:val="0"/>
          <w:noProof/>
          <w:color w:val="auto"/>
        </w:rPr>
      </w:pPr>
      <w:r>
        <w:rPr>
          <w:color w:val="auto"/>
        </w:rPr>
        <w:t>Passez en revue les questions :</w:t>
      </w:r>
    </w:p>
    <w:p w:rsidR="00CE327C" w:rsidRPr="00CE327C" w:rsidRDefault="00CE327C" w:rsidP="00CE327C">
      <w:pPr>
        <w:numPr>
          <w:ilvl w:val="0"/>
          <w:numId w:val="9"/>
        </w:numPr>
        <w:spacing w:before="360" w:after="120"/>
        <w:ind w:left="851" w:hanging="494"/>
        <w:rPr>
          <w:rFonts w:eastAsia="Calibri" w:cs="Arial"/>
          <w:noProof/>
          <w:color w:val="auto"/>
        </w:rPr>
      </w:pPr>
      <w:r>
        <w:rPr>
          <w:color w:val="auto"/>
        </w:rPr>
        <w:t xml:space="preserve">Parmi les énoncés suivants concernant la Loi sur l’accessibilité pour les Manitobains (la Loi), lequel est </w:t>
      </w:r>
      <w:r>
        <w:rPr>
          <w:b/>
          <w:color w:val="auto"/>
        </w:rPr>
        <w:t>faux</w:t>
      </w:r>
      <w:r>
        <w:rPr>
          <w:color w:val="auto"/>
        </w:rPr>
        <w:t>?</w:t>
      </w:r>
    </w:p>
    <w:p w:rsidR="00CE327C" w:rsidRPr="00CE327C" w:rsidRDefault="00CE327C" w:rsidP="00CE327C">
      <w:pPr>
        <w:numPr>
          <w:ilvl w:val="1"/>
          <w:numId w:val="5"/>
        </w:numPr>
        <w:spacing w:after="120"/>
        <w:rPr>
          <w:rFonts w:eastAsia="Calibri" w:cs="Arial"/>
          <w:noProof/>
          <w:color w:val="auto"/>
        </w:rPr>
      </w:pPr>
      <w:r>
        <w:rPr>
          <w:color w:val="auto"/>
        </w:rPr>
        <w:t>Les lois sur l’accessibilité s'appliquent aux entreprises privées et aux organisations à but non lucratif, ainsi qu’à certaines organisations désignées du secteur public du Manitoba.</w:t>
      </w:r>
    </w:p>
    <w:p w:rsidR="00CE327C" w:rsidRPr="00CE327C" w:rsidRDefault="00CE327C" w:rsidP="00CE327C">
      <w:pPr>
        <w:numPr>
          <w:ilvl w:val="1"/>
          <w:numId w:val="5"/>
        </w:numPr>
        <w:spacing w:after="120"/>
        <w:rPr>
          <w:rFonts w:eastAsia="Calibri" w:cs="Arial"/>
          <w:noProof/>
          <w:color w:val="auto"/>
        </w:rPr>
      </w:pPr>
      <w:r>
        <w:rPr>
          <w:color w:val="auto"/>
        </w:rPr>
        <w:t>La Loi ne considère que les barrières physiques.</w:t>
      </w:r>
    </w:p>
    <w:p w:rsidR="00CE327C" w:rsidRPr="00CE327C" w:rsidRDefault="00CE327C" w:rsidP="00CE327C">
      <w:pPr>
        <w:numPr>
          <w:ilvl w:val="1"/>
          <w:numId w:val="5"/>
        </w:numPr>
        <w:spacing w:after="120"/>
        <w:rPr>
          <w:rFonts w:eastAsia="Calibri" w:cs="Arial"/>
          <w:noProof/>
          <w:color w:val="auto"/>
        </w:rPr>
      </w:pPr>
      <w:r>
        <w:rPr>
          <w:color w:val="auto"/>
        </w:rPr>
        <w:t>L’un des objectifs de la Loi est de faire des progrès significatifs pour garantir l’accessibilité au Manitoba d’ici 2023.</w:t>
      </w:r>
    </w:p>
    <w:p w:rsidR="00CE327C" w:rsidRPr="00CE327C" w:rsidRDefault="00CE327C" w:rsidP="00CE327C">
      <w:pPr>
        <w:numPr>
          <w:ilvl w:val="1"/>
          <w:numId w:val="5"/>
        </w:numPr>
        <w:spacing w:after="120"/>
        <w:rPr>
          <w:rFonts w:eastAsia="Calibri" w:cs="Arial"/>
          <w:noProof/>
          <w:color w:val="auto"/>
        </w:rPr>
      </w:pPr>
      <w:r>
        <w:rPr>
          <w:color w:val="auto"/>
        </w:rPr>
        <w:t>La première norme d’accessibilité concernant le service à la clientèle a été adoptée en 2015.</w:t>
      </w:r>
    </w:p>
    <w:p w:rsidR="00CE327C" w:rsidRPr="00CE327C" w:rsidRDefault="00CE327C" w:rsidP="00CE327C">
      <w:pPr>
        <w:numPr>
          <w:ilvl w:val="0"/>
          <w:numId w:val="9"/>
        </w:numPr>
        <w:spacing w:before="360"/>
        <w:ind w:left="851" w:hanging="494"/>
        <w:rPr>
          <w:rFonts w:eastAsia="Calibri" w:cs="Arial"/>
          <w:noProof/>
          <w:color w:val="auto"/>
        </w:rPr>
      </w:pPr>
      <w:r>
        <w:rPr>
          <w:color w:val="auto"/>
        </w:rPr>
        <w:t>Une adaptation raisonnable est...</w:t>
      </w:r>
    </w:p>
    <w:p w:rsidR="00CE327C" w:rsidRPr="00CE327C" w:rsidRDefault="00CE327C" w:rsidP="00CE327C">
      <w:pPr>
        <w:numPr>
          <w:ilvl w:val="1"/>
          <w:numId w:val="9"/>
        </w:numPr>
        <w:spacing w:before="120" w:after="120"/>
        <w:ind w:left="1434" w:hanging="357"/>
        <w:rPr>
          <w:rFonts w:eastAsia="Calibri" w:cs="Arial"/>
          <w:noProof/>
          <w:color w:val="auto"/>
        </w:rPr>
      </w:pPr>
      <w:proofErr w:type="gramStart"/>
      <w:r>
        <w:rPr>
          <w:color w:val="auto"/>
        </w:rPr>
        <w:t>la</w:t>
      </w:r>
      <w:proofErr w:type="gramEnd"/>
      <w:r>
        <w:rPr>
          <w:color w:val="auto"/>
        </w:rPr>
        <w:t xml:space="preserve"> modification d’une règle</w:t>
      </w:r>
    </w:p>
    <w:p w:rsidR="00CE327C" w:rsidRPr="00CE327C" w:rsidRDefault="00CE327C" w:rsidP="00CE327C">
      <w:pPr>
        <w:numPr>
          <w:ilvl w:val="1"/>
          <w:numId w:val="9"/>
        </w:numPr>
        <w:spacing w:before="120" w:after="120"/>
        <w:ind w:left="1434" w:hanging="357"/>
        <w:rPr>
          <w:rFonts w:eastAsia="Calibri" w:cs="Arial"/>
          <w:noProof/>
          <w:color w:val="auto"/>
        </w:rPr>
      </w:pPr>
      <w:proofErr w:type="gramStart"/>
      <w:r>
        <w:rPr>
          <w:color w:val="auto"/>
        </w:rPr>
        <w:t>la</w:t>
      </w:r>
      <w:proofErr w:type="gramEnd"/>
      <w:r>
        <w:rPr>
          <w:color w:val="auto"/>
        </w:rPr>
        <w:t xml:space="preserve"> modification d’une politique, d’une pratique ou d’un espace physique pour changer la manière dont les choses se font habituellement</w:t>
      </w:r>
    </w:p>
    <w:p w:rsidR="00CE327C" w:rsidRPr="00CE327C" w:rsidRDefault="00CE327C" w:rsidP="00CE327C">
      <w:pPr>
        <w:numPr>
          <w:ilvl w:val="1"/>
          <w:numId w:val="9"/>
        </w:numPr>
        <w:spacing w:before="120" w:after="120"/>
        <w:ind w:left="1434" w:hanging="357"/>
        <w:rPr>
          <w:rFonts w:eastAsia="Calibri" w:cs="Arial"/>
          <w:noProof/>
          <w:color w:val="auto"/>
        </w:rPr>
      </w:pPr>
      <w:proofErr w:type="gramStart"/>
      <w:r>
        <w:rPr>
          <w:color w:val="auto"/>
        </w:rPr>
        <w:t>simple</w:t>
      </w:r>
      <w:proofErr w:type="gramEnd"/>
      <w:r>
        <w:rPr>
          <w:color w:val="auto"/>
        </w:rPr>
        <w:t>, gratuite et abordable dans la plupart des cas de service à la clientèle</w:t>
      </w:r>
    </w:p>
    <w:p w:rsidR="00CE327C" w:rsidRPr="00CE327C" w:rsidRDefault="00CE327C" w:rsidP="00CE327C">
      <w:pPr>
        <w:numPr>
          <w:ilvl w:val="1"/>
          <w:numId w:val="9"/>
        </w:numPr>
        <w:spacing w:before="120" w:after="120"/>
        <w:ind w:left="1434" w:hanging="357"/>
        <w:rPr>
          <w:rFonts w:eastAsia="Calibri" w:cs="Arial"/>
          <w:noProof/>
          <w:color w:val="auto"/>
        </w:rPr>
      </w:pPr>
      <w:proofErr w:type="gramStart"/>
      <w:r>
        <w:rPr>
          <w:color w:val="auto"/>
        </w:rPr>
        <w:t>toutes</w:t>
      </w:r>
      <w:proofErr w:type="gramEnd"/>
      <w:r>
        <w:rPr>
          <w:color w:val="auto"/>
        </w:rPr>
        <w:t xml:space="preserve"> ces réponses</w:t>
      </w:r>
    </w:p>
    <w:p w:rsidR="00CE327C" w:rsidRPr="00CE327C" w:rsidRDefault="00CE327C" w:rsidP="00CE327C">
      <w:pPr>
        <w:numPr>
          <w:ilvl w:val="0"/>
          <w:numId w:val="9"/>
        </w:numPr>
        <w:spacing w:before="360" w:after="120"/>
        <w:ind w:left="851" w:hanging="494"/>
        <w:rPr>
          <w:rFonts w:eastAsia="Calibri" w:cs="Arial"/>
          <w:noProof/>
          <w:color w:val="auto"/>
        </w:rPr>
      </w:pPr>
      <w:r>
        <w:rPr>
          <w:color w:val="auto"/>
        </w:rPr>
        <w:t>Nous avons tous le devoir de prendre des mesures d'adaptation en supprimant les barrières même si cela présente…</w:t>
      </w:r>
    </w:p>
    <w:p w:rsidR="00CE327C" w:rsidRPr="00CE327C" w:rsidRDefault="00CE327C" w:rsidP="00CE327C">
      <w:pPr>
        <w:numPr>
          <w:ilvl w:val="1"/>
          <w:numId w:val="9"/>
        </w:numPr>
        <w:spacing w:before="120" w:after="120"/>
        <w:ind w:left="1434" w:hanging="357"/>
        <w:rPr>
          <w:rFonts w:eastAsia="Calibri" w:cs="Arial"/>
          <w:noProof/>
          <w:color w:val="auto"/>
        </w:rPr>
      </w:pPr>
      <w:proofErr w:type="gramStart"/>
      <w:r>
        <w:rPr>
          <w:color w:val="auto"/>
        </w:rPr>
        <w:t>un</w:t>
      </w:r>
      <w:proofErr w:type="gramEnd"/>
      <w:r>
        <w:rPr>
          <w:color w:val="auto"/>
        </w:rPr>
        <w:t xml:space="preserve"> petit coût financier</w:t>
      </w:r>
    </w:p>
    <w:p w:rsidR="00CE327C" w:rsidRPr="00CE327C" w:rsidRDefault="00CE327C" w:rsidP="00CE327C">
      <w:pPr>
        <w:numPr>
          <w:ilvl w:val="1"/>
          <w:numId w:val="9"/>
        </w:numPr>
        <w:spacing w:before="120" w:after="120"/>
        <w:ind w:left="1434" w:hanging="357"/>
        <w:rPr>
          <w:rFonts w:eastAsia="Calibri" w:cs="Arial"/>
          <w:noProof/>
          <w:color w:val="auto"/>
        </w:rPr>
      </w:pPr>
      <w:proofErr w:type="gramStart"/>
      <w:r>
        <w:rPr>
          <w:color w:val="auto"/>
        </w:rPr>
        <w:t>un</w:t>
      </w:r>
      <w:proofErr w:type="gramEnd"/>
      <w:r>
        <w:rPr>
          <w:color w:val="auto"/>
        </w:rPr>
        <w:t xml:space="preserve"> préjudice minime</w:t>
      </w:r>
    </w:p>
    <w:p w:rsidR="00CE327C" w:rsidRPr="00CE327C" w:rsidRDefault="00CE327C" w:rsidP="00CE327C">
      <w:pPr>
        <w:numPr>
          <w:ilvl w:val="1"/>
          <w:numId w:val="9"/>
        </w:numPr>
        <w:spacing w:before="120" w:after="120"/>
        <w:ind w:left="1434" w:hanging="357"/>
        <w:rPr>
          <w:rFonts w:eastAsia="Calibri" w:cs="Arial"/>
          <w:noProof/>
          <w:color w:val="auto"/>
        </w:rPr>
      </w:pPr>
      <w:proofErr w:type="gramStart"/>
      <w:r>
        <w:rPr>
          <w:color w:val="auto"/>
        </w:rPr>
        <w:t>un</w:t>
      </w:r>
      <w:proofErr w:type="gramEnd"/>
      <w:r>
        <w:rPr>
          <w:color w:val="auto"/>
        </w:rPr>
        <w:t xml:space="preserve"> préjudice excessif</w:t>
      </w:r>
    </w:p>
    <w:p w:rsidR="00CE327C" w:rsidRPr="001778D2" w:rsidRDefault="00CE327C" w:rsidP="00CE327C">
      <w:pPr>
        <w:numPr>
          <w:ilvl w:val="1"/>
          <w:numId w:val="9"/>
        </w:numPr>
        <w:spacing w:before="120" w:after="120" w:line="276" w:lineRule="auto"/>
        <w:ind w:left="1418" w:hanging="425"/>
        <w:rPr>
          <w:rFonts w:eastAsia="Calibri" w:cs="Arial"/>
          <w:noProof/>
          <w:color w:val="auto"/>
        </w:rPr>
      </w:pPr>
      <w:r>
        <w:rPr>
          <w:color w:val="auto"/>
        </w:rPr>
        <w:lastRenderedPageBreak/>
        <w:t>Tout le monde doit bénéficier de mesures d'adaptation dans tous les cas. Il n’y a aucune limite.</w:t>
      </w:r>
    </w:p>
    <w:p w:rsidR="001778D2" w:rsidRDefault="001778D2" w:rsidP="001778D2">
      <w:pPr>
        <w:spacing w:before="120" w:after="120" w:line="276" w:lineRule="auto"/>
        <w:rPr>
          <w:color w:val="auto"/>
        </w:rPr>
      </w:pPr>
      <w:r>
        <w:rPr>
          <w:color w:val="auto"/>
        </w:rPr>
        <w:br w:type="page"/>
      </w:r>
    </w:p>
    <w:p w:rsidR="00CE327C" w:rsidRPr="00CE327C" w:rsidRDefault="00CE327C" w:rsidP="00A24C54">
      <w:pPr>
        <w:pStyle w:val="Heading2"/>
        <w:pBdr>
          <w:top w:val="single" w:sz="12" w:space="1" w:color="auto"/>
          <w:bottom w:val="single" w:sz="12" w:space="1" w:color="auto"/>
        </w:pBdr>
        <w:spacing w:before="360"/>
        <w:rPr>
          <w:b w:val="0"/>
          <w:noProof/>
          <w:color w:val="auto"/>
        </w:rPr>
      </w:pPr>
      <w:r>
        <w:rPr>
          <w:color w:val="auto"/>
        </w:rPr>
        <w:lastRenderedPageBreak/>
        <w:t>Module 3 : Comment offrir un service à la clientèle accessible, comme l'exige la Loi</w:t>
      </w:r>
    </w:p>
    <w:p w:rsidR="00CE327C" w:rsidRPr="00CE327C" w:rsidRDefault="00CE327C" w:rsidP="00CE327C">
      <w:pPr>
        <w:keepNext/>
        <w:keepLines/>
        <w:spacing w:before="360" w:after="360" w:line="288" w:lineRule="auto"/>
        <w:outlineLvl w:val="1"/>
        <w:rPr>
          <w:rFonts w:eastAsia="Times New Roman" w:cs="Arial"/>
          <w:noProof/>
          <w:color w:val="auto"/>
        </w:rPr>
      </w:pPr>
      <w:r>
        <w:rPr>
          <w:color w:val="auto"/>
        </w:rPr>
        <w:t>Sachez que la politique de votre organisme sur l'</w:t>
      </w:r>
      <w:proofErr w:type="spellStart"/>
      <w:r>
        <w:rPr>
          <w:color w:val="auto"/>
        </w:rPr>
        <w:t>accessbilité</w:t>
      </w:r>
      <w:proofErr w:type="spellEnd"/>
      <w:r>
        <w:rPr>
          <w:color w:val="auto"/>
        </w:rPr>
        <w:t xml:space="preserve"> du service à la clientèle est un élément obligatoire de la formation du personnel. Vous voudrez peut-être examiner d'autres ressources publiées sur le site Web, notamment les </w:t>
      </w:r>
      <w:hyperlink r:id="rId13" w:history="1">
        <w:r>
          <w:rPr>
            <w:color w:val="auto"/>
            <w:u w:val="single"/>
          </w:rPr>
          <w:t>conseils aux employés sur l’accessibilité du service à la clientèle</w:t>
        </w:r>
      </w:hyperlink>
      <w:r>
        <w:rPr>
          <w:color w:val="auto"/>
        </w:rPr>
        <w:t>.</w:t>
      </w:r>
    </w:p>
    <w:p w:rsidR="00CE327C" w:rsidRPr="00CE327C" w:rsidRDefault="00CE327C" w:rsidP="00CE327C">
      <w:pPr>
        <w:pStyle w:val="Heading3"/>
        <w:spacing w:after="120" w:line="266" w:lineRule="auto"/>
        <w:ind w:left="11" w:hanging="11"/>
        <w:rPr>
          <w:b w:val="0"/>
          <w:noProof/>
          <w:color w:val="auto"/>
        </w:rPr>
      </w:pPr>
      <w:r>
        <w:rPr>
          <w:color w:val="auto"/>
        </w:rPr>
        <w:t>Passez en revue les 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851"/>
        <w:gridCol w:w="1030"/>
      </w:tblGrid>
      <w:tr w:rsidR="00CE327C" w:rsidRPr="00CE327C" w:rsidTr="00512F52">
        <w:tc>
          <w:tcPr>
            <w:tcW w:w="10523" w:type="dxa"/>
            <w:gridSpan w:val="3"/>
          </w:tcPr>
          <w:p w:rsidR="00CE327C" w:rsidRPr="00CE327C" w:rsidRDefault="00CE327C" w:rsidP="00512F52">
            <w:pPr>
              <w:pStyle w:val="ListParagraph"/>
              <w:spacing w:after="240"/>
              <w:ind w:left="174"/>
              <w:rPr>
                <w:rFonts w:eastAsia="Calibri" w:cs="Arial"/>
                <w:noProof/>
                <w:color w:val="auto"/>
              </w:rPr>
            </w:pPr>
            <w:r>
              <w:rPr>
                <w:color w:val="auto"/>
              </w:rPr>
              <w:t>Veuillez encercler la meilleure réponse : Vrai ou faux</w:t>
            </w:r>
          </w:p>
        </w:tc>
      </w:tr>
      <w:tr w:rsidR="00CE327C" w:rsidRPr="00CE327C" w:rsidTr="00512F52">
        <w:tc>
          <w:tcPr>
            <w:tcW w:w="10523" w:type="dxa"/>
            <w:gridSpan w:val="3"/>
          </w:tcPr>
          <w:p w:rsidR="00CE327C" w:rsidRPr="00CE327C" w:rsidRDefault="00CE327C" w:rsidP="00512F52">
            <w:pPr>
              <w:pStyle w:val="ListParagraph"/>
              <w:numPr>
                <w:ilvl w:val="0"/>
                <w:numId w:val="9"/>
              </w:numPr>
              <w:tabs>
                <w:tab w:val="left" w:pos="8505"/>
                <w:tab w:val="left" w:pos="9781"/>
              </w:tabs>
              <w:spacing w:before="360"/>
              <w:ind w:left="851" w:hanging="535"/>
              <w:contextualSpacing w:val="0"/>
              <w:rPr>
                <w:rFonts w:eastAsia="Calibri" w:cs="Arial"/>
                <w:noProof/>
                <w:color w:val="auto"/>
              </w:rPr>
            </w:pPr>
            <w:r>
              <w:rPr>
                <w:color w:val="auto"/>
              </w:rPr>
              <w:t>La communication est une interaction. Si votre client a du mal à vous comprendre, quelles bonnes pratiques pouvez-vous utiliser?</w:t>
            </w:r>
          </w:p>
        </w:tc>
      </w:tr>
      <w:tr w:rsidR="00CE327C" w:rsidRPr="00CE327C" w:rsidTr="00512F52">
        <w:tc>
          <w:tcPr>
            <w:tcW w:w="8642" w:type="dxa"/>
          </w:tcPr>
          <w:p w:rsidR="00CE327C" w:rsidRPr="00CE327C" w:rsidRDefault="00CE327C" w:rsidP="00512F52">
            <w:pPr>
              <w:pStyle w:val="ListParagraph"/>
              <w:numPr>
                <w:ilvl w:val="1"/>
                <w:numId w:val="9"/>
              </w:numPr>
              <w:tabs>
                <w:tab w:val="left" w:pos="8505"/>
                <w:tab w:val="left" w:pos="9781"/>
              </w:tabs>
              <w:spacing w:before="240" w:after="120"/>
              <w:ind w:left="1434" w:hanging="283"/>
              <w:contextualSpacing w:val="0"/>
              <w:rPr>
                <w:rFonts w:eastAsia="Calibri" w:cs="Arial"/>
                <w:noProof/>
                <w:color w:val="auto"/>
              </w:rPr>
            </w:pPr>
            <w:r>
              <w:rPr>
                <w:color w:val="auto"/>
              </w:rPr>
              <w:t>Si vous n'êtes pas sûr de savoir ce dont une personne a besoin, posez-lui la question.</w:t>
            </w:r>
          </w:p>
        </w:tc>
        <w:tc>
          <w:tcPr>
            <w:tcW w:w="851" w:type="dxa"/>
          </w:tcPr>
          <w:p w:rsidR="00CE327C" w:rsidRPr="00CE327C" w:rsidRDefault="00CE327C" w:rsidP="00512F52">
            <w:pPr>
              <w:spacing w:before="240" w:after="120"/>
              <w:rPr>
                <w:rFonts w:eastAsia="Calibri" w:cs="Arial"/>
                <w:noProof/>
                <w:color w:val="auto"/>
              </w:rPr>
            </w:pPr>
            <w:r>
              <w:rPr>
                <w:color w:val="auto"/>
              </w:rPr>
              <w:t>Vrai</w:t>
            </w:r>
          </w:p>
        </w:tc>
        <w:tc>
          <w:tcPr>
            <w:tcW w:w="1030" w:type="dxa"/>
          </w:tcPr>
          <w:p w:rsidR="00CE327C" w:rsidRPr="00CE327C" w:rsidRDefault="00CE327C" w:rsidP="00512F52">
            <w:pPr>
              <w:spacing w:before="240" w:after="120"/>
              <w:rPr>
                <w:rFonts w:eastAsia="Calibri" w:cs="Arial"/>
                <w:noProof/>
                <w:color w:val="auto"/>
              </w:rPr>
            </w:pPr>
            <w:r>
              <w:rPr>
                <w:color w:val="auto"/>
              </w:rPr>
              <w:t>Faux</w:t>
            </w:r>
          </w:p>
        </w:tc>
      </w:tr>
      <w:tr w:rsidR="00CE327C" w:rsidRPr="00CE327C" w:rsidTr="00512F52">
        <w:tc>
          <w:tcPr>
            <w:tcW w:w="8642" w:type="dxa"/>
          </w:tcPr>
          <w:p w:rsidR="00CE327C" w:rsidRPr="00CE327C" w:rsidRDefault="00CE327C" w:rsidP="00512F52">
            <w:pPr>
              <w:pStyle w:val="ListParagraph"/>
              <w:numPr>
                <w:ilvl w:val="1"/>
                <w:numId w:val="9"/>
              </w:numPr>
              <w:tabs>
                <w:tab w:val="left" w:pos="8505"/>
                <w:tab w:val="left" w:pos="9781"/>
              </w:tabs>
              <w:spacing w:before="240" w:after="120"/>
              <w:ind w:left="1434" w:hanging="283"/>
              <w:contextualSpacing w:val="0"/>
              <w:rPr>
                <w:rFonts w:eastAsia="Calibri" w:cs="Arial"/>
                <w:noProof/>
                <w:color w:val="auto"/>
              </w:rPr>
            </w:pPr>
            <w:r>
              <w:rPr>
                <w:color w:val="auto"/>
              </w:rPr>
              <w:t>Demandez à votre client quel est son handicap.</w:t>
            </w:r>
          </w:p>
        </w:tc>
        <w:tc>
          <w:tcPr>
            <w:tcW w:w="851" w:type="dxa"/>
          </w:tcPr>
          <w:p w:rsidR="00CE327C" w:rsidRPr="00CE327C" w:rsidRDefault="00CE327C" w:rsidP="00512F52">
            <w:pPr>
              <w:spacing w:before="240" w:after="120"/>
              <w:rPr>
                <w:rFonts w:eastAsia="Calibri" w:cs="Arial"/>
                <w:noProof/>
                <w:color w:val="auto"/>
              </w:rPr>
            </w:pPr>
            <w:r>
              <w:rPr>
                <w:color w:val="auto"/>
              </w:rPr>
              <w:t>Vrai</w:t>
            </w:r>
          </w:p>
        </w:tc>
        <w:tc>
          <w:tcPr>
            <w:tcW w:w="1030" w:type="dxa"/>
          </w:tcPr>
          <w:p w:rsidR="00CE327C" w:rsidRPr="00CE327C" w:rsidRDefault="00CE327C" w:rsidP="00512F52">
            <w:pPr>
              <w:spacing w:before="240" w:after="120"/>
              <w:rPr>
                <w:rFonts w:eastAsia="Calibri" w:cs="Arial"/>
                <w:noProof/>
                <w:color w:val="auto"/>
              </w:rPr>
            </w:pPr>
            <w:r>
              <w:rPr>
                <w:color w:val="auto"/>
              </w:rPr>
              <w:t>Faux</w:t>
            </w:r>
          </w:p>
        </w:tc>
      </w:tr>
      <w:tr w:rsidR="00CE327C" w:rsidRPr="00CE327C" w:rsidTr="00512F52">
        <w:tc>
          <w:tcPr>
            <w:tcW w:w="8642" w:type="dxa"/>
          </w:tcPr>
          <w:p w:rsidR="00CE327C" w:rsidRPr="00CE327C" w:rsidRDefault="00CE327C" w:rsidP="00512F52">
            <w:pPr>
              <w:pStyle w:val="ListParagraph"/>
              <w:numPr>
                <w:ilvl w:val="0"/>
                <w:numId w:val="9"/>
              </w:numPr>
              <w:tabs>
                <w:tab w:val="left" w:pos="8505"/>
                <w:tab w:val="left" w:pos="9781"/>
              </w:tabs>
              <w:spacing w:before="120"/>
              <w:ind w:left="851" w:hanging="535"/>
              <w:contextualSpacing w:val="0"/>
              <w:rPr>
                <w:rFonts w:eastAsia="Calibri" w:cs="Arial"/>
                <w:noProof/>
                <w:color w:val="auto"/>
              </w:rPr>
            </w:pPr>
            <w:r>
              <w:rPr>
                <w:color w:val="auto"/>
              </w:rPr>
              <w:t>Une cliente vous informe que les caractères sont trop petits dans un document pour pouvoir le lire. Comme solution, vous lui donnez le même document mais en gros caractères. Vous n’avez pas fourni un service à la clientèle qui était accessible.</w:t>
            </w:r>
          </w:p>
        </w:tc>
        <w:tc>
          <w:tcPr>
            <w:tcW w:w="851" w:type="dxa"/>
          </w:tcPr>
          <w:p w:rsidR="00CE327C" w:rsidRPr="00CE327C" w:rsidRDefault="00CE327C" w:rsidP="00512F52">
            <w:pPr>
              <w:spacing w:before="960" w:after="120"/>
              <w:rPr>
                <w:rFonts w:eastAsia="Calibri" w:cs="Arial"/>
                <w:noProof/>
                <w:color w:val="auto"/>
              </w:rPr>
            </w:pPr>
            <w:r>
              <w:rPr>
                <w:color w:val="auto"/>
              </w:rPr>
              <w:t>Vrai</w:t>
            </w:r>
          </w:p>
        </w:tc>
        <w:tc>
          <w:tcPr>
            <w:tcW w:w="1030" w:type="dxa"/>
          </w:tcPr>
          <w:p w:rsidR="00CE327C" w:rsidRPr="00CE327C" w:rsidRDefault="00CE327C" w:rsidP="00512F52">
            <w:pPr>
              <w:spacing w:before="960" w:after="120"/>
              <w:rPr>
                <w:rFonts w:eastAsia="Calibri" w:cs="Arial"/>
                <w:noProof/>
                <w:color w:val="auto"/>
              </w:rPr>
            </w:pPr>
            <w:r>
              <w:rPr>
                <w:color w:val="auto"/>
              </w:rPr>
              <w:t>Faux</w:t>
            </w:r>
          </w:p>
        </w:tc>
      </w:tr>
      <w:tr w:rsidR="00CE327C" w:rsidRPr="00CE327C" w:rsidTr="00512F52">
        <w:tc>
          <w:tcPr>
            <w:tcW w:w="8642" w:type="dxa"/>
          </w:tcPr>
          <w:p w:rsidR="00CE327C" w:rsidRPr="00CE327C" w:rsidRDefault="00CE327C" w:rsidP="00512F52">
            <w:pPr>
              <w:pStyle w:val="ListParagraph"/>
              <w:numPr>
                <w:ilvl w:val="0"/>
                <w:numId w:val="9"/>
              </w:numPr>
              <w:tabs>
                <w:tab w:val="left" w:pos="8505"/>
                <w:tab w:val="left" w:pos="9781"/>
              </w:tabs>
              <w:spacing w:before="120"/>
              <w:ind w:left="851" w:hanging="535"/>
              <w:contextualSpacing w:val="0"/>
              <w:rPr>
                <w:rFonts w:eastAsia="Calibri" w:cs="Arial"/>
                <w:noProof/>
                <w:color w:val="auto"/>
              </w:rPr>
            </w:pPr>
            <w:r>
              <w:rPr>
                <w:color w:val="auto"/>
              </w:rPr>
              <w:t>Une personne de confiance est une personne qui accompagne une personne handicapée pour l'aider à répondre à ses besoins de communication, de mobilité, de soins personnels ou de soins de santé, ou pour l’aider à accéder à des biens ou à des services.</w:t>
            </w:r>
          </w:p>
        </w:tc>
        <w:tc>
          <w:tcPr>
            <w:tcW w:w="851" w:type="dxa"/>
          </w:tcPr>
          <w:p w:rsidR="00CE327C" w:rsidRPr="00CE327C" w:rsidRDefault="00CE327C" w:rsidP="00512F52">
            <w:pPr>
              <w:spacing w:before="720" w:after="120"/>
              <w:rPr>
                <w:rFonts w:eastAsia="Calibri" w:cs="Arial"/>
                <w:noProof/>
                <w:color w:val="auto"/>
              </w:rPr>
            </w:pPr>
            <w:r>
              <w:rPr>
                <w:color w:val="auto"/>
              </w:rPr>
              <w:t>Vrai</w:t>
            </w:r>
          </w:p>
        </w:tc>
        <w:tc>
          <w:tcPr>
            <w:tcW w:w="1030" w:type="dxa"/>
          </w:tcPr>
          <w:p w:rsidR="00CE327C" w:rsidRPr="00CE327C" w:rsidRDefault="00CE327C" w:rsidP="00512F52">
            <w:pPr>
              <w:spacing w:before="720" w:after="120"/>
              <w:rPr>
                <w:rFonts w:eastAsia="Calibri" w:cs="Arial"/>
                <w:noProof/>
                <w:color w:val="auto"/>
              </w:rPr>
            </w:pPr>
            <w:r>
              <w:rPr>
                <w:color w:val="auto"/>
              </w:rPr>
              <w:t>Faux</w:t>
            </w:r>
          </w:p>
        </w:tc>
      </w:tr>
      <w:tr w:rsidR="00CE327C" w:rsidRPr="00CE327C" w:rsidTr="00512F52">
        <w:tc>
          <w:tcPr>
            <w:tcW w:w="8642" w:type="dxa"/>
          </w:tcPr>
          <w:p w:rsidR="00CE327C" w:rsidRPr="00CE327C" w:rsidRDefault="00CE327C" w:rsidP="00512F52">
            <w:pPr>
              <w:pStyle w:val="ListParagraph"/>
              <w:numPr>
                <w:ilvl w:val="0"/>
                <w:numId w:val="9"/>
              </w:numPr>
              <w:tabs>
                <w:tab w:val="left" w:pos="8505"/>
                <w:tab w:val="left" w:pos="9781"/>
              </w:tabs>
              <w:spacing w:before="120"/>
              <w:ind w:left="851" w:hanging="535"/>
              <w:contextualSpacing w:val="0"/>
              <w:rPr>
                <w:rFonts w:eastAsia="Calibri" w:cs="Arial"/>
                <w:noProof/>
                <w:color w:val="auto"/>
              </w:rPr>
            </w:pPr>
            <w:r>
              <w:rPr>
                <w:color w:val="auto"/>
              </w:rPr>
              <w:t>Tous les animaux d’assistance portent un gilet.</w:t>
            </w:r>
          </w:p>
        </w:tc>
        <w:tc>
          <w:tcPr>
            <w:tcW w:w="851" w:type="dxa"/>
          </w:tcPr>
          <w:p w:rsidR="00CE327C" w:rsidRPr="00CE327C" w:rsidRDefault="00CE327C" w:rsidP="00512F52">
            <w:pPr>
              <w:spacing w:before="120" w:after="120"/>
              <w:rPr>
                <w:rFonts w:eastAsia="Calibri" w:cs="Arial"/>
                <w:noProof/>
                <w:color w:val="auto"/>
              </w:rPr>
            </w:pPr>
            <w:r>
              <w:rPr>
                <w:color w:val="auto"/>
              </w:rPr>
              <w:t>Vrai</w:t>
            </w:r>
          </w:p>
        </w:tc>
        <w:tc>
          <w:tcPr>
            <w:tcW w:w="1030" w:type="dxa"/>
          </w:tcPr>
          <w:p w:rsidR="00CE327C" w:rsidRPr="00CE327C" w:rsidRDefault="00CE327C" w:rsidP="00512F52">
            <w:pPr>
              <w:spacing w:before="120" w:after="120"/>
              <w:rPr>
                <w:rFonts w:eastAsia="Calibri" w:cs="Arial"/>
                <w:noProof/>
                <w:color w:val="auto"/>
              </w:rPr>
            </w:pPr>
            <w:r>
              <w:rPr>
                <w:color w:val="auto"/>
              </w:rPr>
              <w:t>Faux</w:t>
            </w:r>
          </w:p>
        </w:tc>
      </w:tr>
    </w:tbl>
    <w:p w:rsidR="00CE327C" w:rsidRPr="00CE327C" w:rsidRDefault="00CE327C" w:rsidP="00CE327C">
      <w:pPr>
        <w:rPr>
          <w:b/>
          <w:noProof/>
          <w:color w:val="auto"/>
        </w:rPr>
      </w:pPr>
      <w:r>
        <w:br w:type="page"/>
      </w:r>
    </w:p>
    <w:p w:rsidR="00CE327C" w:rsidRPr="00CE327C" w:rsidRDefault="00CE327C" w:rsidP="00A24C54">
      <w:pPr>
        <w:pStyle w:val="Heading2"/>
        <w:pBdr>
          <w:top w:val="single" w:sz="12" w:space="1" w:color="auto"/>
          <w:bottom w:val="single" w:sz="12" w:space="1" w:color="auto"/>
        </w:pBdr>
        <w:spacing w:before="360"/>
        <w:rPr>
          <w:b w:val="0"/>
          <w:noProof/>
          <w:color w:val="auto"/>
        </w:rPr>
      </w:pPr>
      <w:r>
        <w:rPr>
          <w:color w:val="auto"/>
        </w:rPr>
        <w:lastRenderedPageBreak/>
        <w:t>Module 4 : Conseils permettant d’assurer l'accessibilité pour les gens que vous servez</w:t>
      </w:r>
    </w:p>
    <w:p w:rsidR="00CE327C" w:rsidRPr="00CE327C" w:rsidRDefault="00CE327C" w:rsidP="00CE327C">
      <w:pPr>
        <w:rPr>
          <w:b/>
          <w:noProof/>
          <w:color w:val="auto"/>
          <w:lang w:val="en-CA"/>
        </w:rPr>
      </w:pPr>
    </w:p>
    <w:p w:rsidR="00CE327C" w:rsidRPr="00CE327C" w:rsidRDefault="00CE327C" w:rsidP="00CE327C">
      <w:pPr>
        <w:spacing w:after="160" w:line="276" w:lineRule="auto"/>
        <w:rPr>
          <w:rFonts w:eastAsia="Calibri" w:cs="Arial"/>
          <w:noProof/>
          <w:color w:val="auto"/>
        </w:rPr>
      </w:pPr>
      <w:r>
        <w:rPr>
          <w:color w:val="auto"/>
        </w:rPr>
        <w:t>L’un des messages les plus importants de cette formation, c'est que le personnel ne devrait pas faire de suppositions quant aux besoins d’autres personnes. Au lieu de cela, il faut simplement demander : comment puis-je vous aider?</w:t>
      </w:r>
    </w:p>
    <w:p w:rsidR="00CE327C" w:rsidRPr="00CE327C" w:rsidRDefault="00CE327C" w:rsidP="00CE327C">
      <w:pPr>
        <w:spacing w:after="160" w:line="276" w:lineRule="auto"/>
        <w:rPr>
          <w:rFonts w:eastAsia="Calibri" w:cs="Arial"/>
          <w:noProof/>
          <w:color w:val="auto"/>
        </w:rPr>
      </w:pPr>
      <w:r>
        <w:rPr>
          <w:color w:val="auto"/>
        </w:rPr>
        <w:t>Dans le cadre de la formation, on présente l’</w:t>
      </w:r>
      <w:hyperlink r:id="rId14" w:history="1">
        <w:r>
          <w:rPr>
            <w:color w:val="auto"/>
            <w:u w:val="single"/>
          </w:rPr>
          <w:t>écriteau du gouvernement du Manitoba sur l’offre de services accessibles</w:t>
        </w:r>
      </w:hyperlink>
      <w:r>
        <w:rPr>
          <w:color w:val="auto"/>
        </w:rPr>
        <w:t>. Cet écriteau figure aussi parmi les ressources publiées sur le site Web, et il est également possible de l’obtenir sur papier au Bureau des personnes handicapées. L’</w:t>
      </w:r>
      <w:hyperlink r:id="rId15" w:history="1">
        <w:r>
          <w:rPr>
            <w:color w:val="auto"/>
            <w:u w:val="single"/>
          </w:rPr>
          <w:t>explication</w:t>
        </w:r>
      </w:hyperlink>
      <w:r>
        <w:rPr>
          <w:color w:val="auto"/>
        </w:rPr>
        <w:t xml:space="preserve"> qui l’accompagne fournit des conseils pour accueillir les clients en supprimant les barrières qui empêchent l'accès aux biens et aux services.</w:t>
      </w:r>
    </w:p>
    <w:p w:rsidR="00CE327C" w:rsidRPr="00CE327C" w:rsidRDefault="00CE327C" w:rsidP="00CE327C">
      <w:pPr>
        <w:pStyle w:val="Heading3"/>
        <w:spacing w:before="360" w:line="266" w:lineRule="auto"/>
        <w:ind w:left="11" w:hanging="11"/>
        <w:rPr>
          <w:b w:val="0"/>
          <w:noProof/>
          <w:color w:val="auto"/>
        </w:rPr>
      </w:pPr>
      <w:r>
        <w:rPr>
          <w:color w:val="auto"/>
        </w:rPr>
        <w:t>Passez en revue les questions</w:t>
      </w:r>
    </w:p>
    <w:p w:rsidR="00CE327C" w:rsidRPr="00CE327C" w:rsidRDefault="00CE327C" w:rsidP="00CE327C">
      <w:pPr>
        <w:pStyle w:val="ListParagraph"/>
        <w:numPr>
          <w:ilvl w:val="0"/>
          <w:numId w:val="21"/>
        </w:numPr>
        <w:tabs>
          <w:tab w:val="left" w:pos="284"/>
        </w:tabs>
        <w:spacing w:before="240" w:after="120"/>
        <w:ind w:left="851" w:hanging="567"/>
        <w:contextualSpacing w:val="0"/>
        <w:rPr>
          <w:rFonts w:eastAsia="Calibri" w:cs="Arial"/>
          <w:noProof/>
          <w:color w:val="auto"/>
        </w:rPr>
      </w:pPr>
      <w:r>
        <w:rPr>
          <w:color w:val="auto"/>
        </w:rPr>
        <w:t>Que faites-vous si une personne handicapée doit passer plus de temps avec vous que d'autres personnes?</w:t>
      </w:r>
    </w:p>
    <w:p w:rsidR="00CE327C" w:rsidRPr="00CE327C" w:rsidRDefault="00CE327C" w:rsidP="00CE327C">
      <w:pPr>
        <w:pStyle w:val="ListParagraph"/>
        <w:numPr>
          <w:ilvl w:val="1"/>
          <w:numId w:val="21"/>
        </w:numPr>
        <w:spacing w:before="120" w:after="120"/>
        <w:ind w:left="1434" w:hanging="357"/>
        <w:contextualSpacing w:val="0"/>
        <w:rPr>
          <w:rFonts w:eastAsia="Calibri" w:cs="Arial"/>
          <w:noProof/>
          <w:color w:val="auto"/>
        </w:rPr>
      </w:pPr>
      <w:r>
        <w:rPr>
          <w:color w:val="auto"/>
        </w:rPr>
        <w:t>Vous vous dépêchez avec elle pour pouvoir vous occuper d'autres clients.</w:t>
      </w:r>
    </w:p>
    <w:p w:rsidR="00CE327C" w:rsidRPr="00CE327C" w:rsidRDefault="00CE327C" w:rsidP="00CE327C">
      <w:pPr>
        <w:pStyle w:val="ListParagraph"/>
        <w:numPr>
          <w:ilvl w:val="1"/>
          <w:numId w:val="21"/>
        </w:numPr>
        <w:spacing w:after="120"/>
        <w:ind w:left="1434" w:hanging="357"/>
        <w:contextualSpacing w:val="0"/>
        <w:rPr>
          <w:rFonts w:eastAsia="Calibri" w:cs="Arial"/>
          <w:noProof/>
          <w:color w:val="auto"/>
        </w:rPr>
      </w:pPr>
      <w:r>
        <w:rPr>
          <w:color w:val="auto"/>
        </w:rPr>
        <w:t>Vous lui demandez de s’asseoir et d'attendre pendant que vous vous occupez d'autres clients.</w:t>
      </w:r>
    </w:p>
    <w:p w:rsidR="00CE327C" w:rsidRPr="00CE327C" w:rsidRDefault="00CE327C" w:rsidP="00CE327C">
      <w:pPr>
        <w:pStyle w:val="ListParagraph"/>
        <w:numPr>
          <w:ilvl w:val="1"/>
          <w:numId w:val="21"/>
        </w:numPr>
        <w:spacing w:after="120"/>
        <w:ind w:left="1434" w:hanging="357"/>
        <w:contextualSpacing w:val="0"/>
        <w:rPr>
          <w:rFonts w:eastAsia="Calibri" w:cs="Arial"/>
          <w:noProof/>
          <w:color w:val="auto"/>
        </w:rPr>
      </w:pPr>
      <w:r>
        <w:rPr>
          <w:color w:val="auto"/>
        </w:rPr>
        <w:t>Vous prenez patience et lui accordez plus de temps.</w:t>
      </w:r>
    </w:p>
    <w:p w:rsidR="00CE327C" w:rsidRPr="00CE327C" w:rsidRDefault="00CE327C" w:rsidP="00CE327C">
      <w:pPr>
        <w:pStyle w:val="ListParagraph"/>
        <w:numPr>
          <w:ilvl w:val="1"/>
          <w:numId w:val="21"/>
        </w:numPr>
        <w:spacing w:after="120"/>
        <w:ind w:left="1434" w:hanging="357"/>
        <w:contextualSpacing w:val="0"/>
        <w:rPr>
          <w:rFonts w:eastAsia="Calibri" w:cs="Arial"/>
          <w:noProof/>
          <w:color w:val="auto"/>
        </w:rPr>
      </w:pPr>
      <w:r>
        <w:rPr>
          <w:color w:val="auto"/>
        </w:rPr>
        <w:t>Vous lui demandez de revenir quand vous ne serez pas occupé.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34"/>
        <w:gridCol w:w="1172"/>
      </w:tblGrid>
      <w:tr w:rsidR="00CE327C" w:rsidRPr="00CE327C" w:rsidTr="00512F52">
        <w:tc>
          <w:tcPr>
            <w:tcW w:w="10523" w:type="dxa"/>
            <w:gridSpan w:val="3"/>
          </w:tcPr>
          <w:p w:rsidR="00CE327C" w:rsidRPr="00CE327C" w:rsidRDefault="00CE327C" w:rsidP="00512F52">
            <w:pPr>
              <w:numPr>
                <w:ilvl w:val="0"/>
                <w:numId w:val="21"/>
              </w:numPr>
              <w:spacing w:before="120" w:after="120"/>
              <w:ind w:left="851" w:hanging="677"/>
              <w:rPr>
                <w:rFonts w:eastAsia="Calibri" w:cs="Arial"/>
                <w:noProof/>
                <w:color w:val="auto"/>
              </w:rPr>
            </w:pPr>
            <w:r>
              <w:rPr>
                <w:color w:val="auto"/>
              </w:rPr>
              <w:t>Encerclez Vrai ou faux</w:t>
            </w:r>
          </w:p>
        </w:tc>
      </w:tr>
      <w:tr w:rsidR="00CE327C" w:rsidRPr="00CE327C" w:rsidTr="00512F52">
        <w:tc>
          <w:tcPr>
            <w:tcW w:w="8217" w:type="dxa"/>
          </w:tcPr>
          <w:p w:rsidR="00CE327C" w:rsidRPr="00CE327C" w:rsidRDefault="00CE327C" w:rsidP="00512F52">
            <w:pPr>
              <w:pStyle w:val="ListParagraph"/>
              <w:numPr>
                <w:ilvl w:val="1"/>
                <w:numId w:val="21"/>
              </w:numPr>
              <w:spacing w:before="240" w:after="240"/>
              <w:ind w:left="1434" w:hanging="357"/>
              <w:contextualSpacing w:val="0"/>
              <w:rPr>
                <w:rFonts w:eastAsia="Calibri" w:cs="Arial"/>
                <w:noProof/>
                <w:color w:val="auto"/>
              </w:rPr>
            </w:pPr>
            <w:r>
              <w:rPr>
                <w:color w:val="auto"/>
              </w:rPr>
              <w:t>Un fauteuil roulant n'est pas une barrière.</w:t>
            </w:r>
          </w:p>
        </w:tc>
        <w:tc>
          <w:tcPr>
            <w:tcW w:w="1134" w:type="dxa"/>
          </w:tcPr>
          <w:p w:rsidR="00CE327C" w:rsidRPr="00CE327C" w:rsidRDefault="00CE327C" w:rsidP="00512F52">
            <w:pPr>
              <w:spacing w:before="240" w:after="120"/>
              <w:rPr>
                <w:rFonts w:eastAsia="Calibri" w:cs="Arial"/>
                <w:noProof/>
                <w:color w:val="auto"/>
              </w:rPr>
            </w:pPr>
            <w:r>
              <w:rPr>
                <w:color w:val="auto"/>
              </w:rPr>
              <w:t>Vrai</w:t>
            </w:r>
          </w:p>
        </w:tc>
        <w:tc>
          <w:tcPr>
            <w:tcW w:w="1172" w:type="dxa"/>
          </w:tcPr>
          <w:p w:rsidR="00CE327C" w:rsidRPr="00CE327C" w:rsidRDefault="00CE327C" w:rsidP="00512F52">
            <w:pPr>
              <w:spacing w:before="240" w:after="120"/>
              <w:rPr>
                <w:rFonts w:eastAsia="Calibri" w:cs="Arial"/>
                <w:noProof/>
                <w:color w:val="auto"/>
              </w:rPr>
            </w:pPr>
            <w:r>
              <w:rPr>
                <w:color w:val="auto"/>
              </w:rPr>
              <w:t>Faux</w:t>
            </w:r>
          </w:p>
        </w:tc>
      </w:tr>
      <w:tr w:rsidR="00CE327C" w:rsidRPr="00CE327C" w:rsidTr="00512F52">
        <w:tc>
          <w:tcPr>
            <w:tcW w:w="8217" w:type="dxa"/>
          </w:tcPr>
          <w:p w:rsidR="00CE327C" w:rsidRPr="00CE327C" w:rsidRDefault="00CE327C" w:rsidP="00512F52">
            <w:pPr>
              <w:pStyle w:val="ListParagraph"/>
              <w:numPr>
                <w:ilvl w:val="1"/>
                <w:numId w:val="21"/>
              </w:numPr>
              <w:spacing w:before="240" w:after="240"/>
              <w:ind w:left="1434" w:hanging="357"/>
              <w:contextualSpacing w:val="0"/>
              <w:rPr>
                <w:rFonts w:eastAsia="Calibri" w:cs="Arial"/>
                <w:noProof/>
                <w:color w:val="auto"/>
              </w:rPr>
            </w:pPr>
            <w:r>
              <w:rPr>
                <w:color w:val="auto"/>
              </w:rPr>
              <w:t>Il est toujours évident qu'une personne a un handicap.</w:t>
            </w:r>
          </w:p>
        </w:tc>
        <w:tc>
          <w:tcPr>
            <w:tcW w:w="1134" w:type="dxa"/>
          </w:tcPr>
          <w:p w:rsidR="00CE327C" w:rsidRPr="00CE327C" w:rsidRDefault="00CE327C" w:rsidP="00512F52">
            <w:pPr>
              <w:spacing w:before="240" w:after="120"/>
              <w:rPr>
                <w:rFonts w:eastAsia="Calibri" w:cs="Arial"/>
                <w:noProof/>
                <w:color w:val="auto"/>
              </w:rPr>
            </w:pPr>
            <w:r>
              <w:rPr>
                <w:color w:val="auto"/>
              </w:rPr>
              <w:t>Vrai</w:t>
            </w:r>
          </w:p>
        </w:tc>
        <w:tc>
          <w:tcPr>
            <w:tcW w:w="1172" w:type="dxa"/>
          </w:tcPr>
          <w:p w:rsidR="00CE327C" w:rsidRPr="00CE327C" w:rsidRDefault="00CE327C" w:rsidP="00512F52">
            <w:pPr>
              <w:spacing w:before="240" w:after="120"/>
              <w:rPr>
                <w:rFonts w:eastAsia="Calibri" w:cs="Arial"/>
                <w:noProof/>
                <w:color w:val="auto"/>
              </w:rPr>
            </w:pPr>
            <w:r>
              <w:rPr>
                <w:color w:val="auto"/>
              </w:rPr>
              <w:t>Faux</w:t>
            </w:r>
          </w:p>
        </w:tc>
      </w:tr>
      <w:tr w:rsidR="00CE327C" w:rsidRPr="00CE327C" w:rsidTr="00512F52">
        <w:tc>
          <w:tcPr>
            <w:tcW w:w="8217" w:type="dxa"/>
          </w:tcPr>
          <w:p w:rsidR="00CE327C" w:rsidRPr="00CE327C" w:rsidRDefault="00CE327C" w:rsidP="00512F52">
            <w:pPr>
              <w:pStyle w:val="ListParagraph"/>
              <w:numPr>
                <w:ilvl w:val="1"/>
                <w:numId w:val="21"/>
              </w:numPr>
              <w:spacing w:before="240" w:after="160"/>
              <w:rPr>
                <w:rFonts w:eastAsia="Calibri" w:cs="Arial"/>
                <w:noProof/>
                <w:color w:val="auto"/>
              </w:rPr>
            </w:pPr>
            <w:r>
              <w:rPr>
                <w:color w:val="auto"/>
              </w:rPr>
              <w:t>Si votre bâtiment n'est pas accessible, vous ne pouvez pas offrir de service à la clientèle.</w:t>
            </w:r>
          </w:p>
        </w:tc>
        <w:tc>
          <w:tcPr>
            <w:tcW w:w="1134" w:type="dxa"/>
          </w:tcPr>
          <w:p w:rsidR="00CE327C" w:rsidRPr="00CE327C" w:rsidRDefault="00CE327C" w:rsidP="00A24C54">
            <w:pPr>
              <w:spacing w:before="480" w:after="120"/>
              <w:rPr>
                <w:rFonts w:eastAsia="Calibri" w:cs="Arial"/>
                <w:noProof/>
                <w:color w:val="auto"/>
              </w:rPr>
            </w:pPr>
            <w:r>
              <w:rPr>
                <w:color w:val="auto"/>
              </w:rPr>
              <w:t>Vrai</w:t>
            </w:r>
          </w:p>
        </w:tc>
        <w:tc>
          <w:tcPr>
            <w:tcW w:w="1172" w:type="dxa"/>
          </w:tcPr>
          <w:p w:rsidR="00CE327C" w:rsidRPr="00CE327C" w:rsidRDefault="00CE327C" w:rsidP="00A24C54">
            <w:pPr>
              <w:spacing w:before="480" w:after="120"/>
              <w:rPr>
                <w:rFonts w:eastAsia="Calibri" w:cs="Arial"/>
                <w:noProof/>
                <w:color w:val="auto"/>
              </w:rPr>
            </w:pPr>
            <w:r>
              <w:rPr>
                <w:color w:val="auto"/>
              </w:rPr>
              <w:t>Faux</w:t>
            </w:r>
          </w:p>
        </w:tc>
      </w:tr>
      <w:tr w:rsidR="00CE327C" w:rsidRPr="00CE327C" w:rsidTr="00512F52">
        <w:tc>
          <w:tcPr>
            <w:tcW w:w="8217" w:type="dxa"/>
          </w:tcPr>
          <w:p w:rsidR="00CE327C" w:rsidRPr="00CE327C" w:rsidRDefault="00CE327C" w:rsidP="00512F52">
            <w:pPr>
              <w:pStyle w:val="ListParagraph"/>
              <w:numPr>
                <w:ilvl w:val="1"/>
                <w:numId w:val="21"/>
              </w:numPr>
              <w:spacing w:before="240" w:after="240"/>
              <w:ind w:left="1434" w:hanging="357"/>
              <w:contextualSpacing w:val="0"/>
              <w:rPr>
                <w:rFonts w:eastAsia="Calibri" w:cs="Arial"/>
                <w:noProof/>
                <w:color w:val="auto"/>
              </w:rPr>
            </w:pPr>
            <w:r>
              <w:rPr>
                <w:color w:val="auto"/>
              </w:rPr>
              <w:t>Les clients âgés ont toujours du mal à entendre.</w:t>
            </w:r>
          </w:p>
        </w:tc>
        <w:tc>
          <w:tcPr>
            <w:tcW w:w="1134" w:type="dxa"/>
          </w:tcPr>
          <w:p w:rsidR="00CE327C" w:rsidRPr="00CE327C" w:rsidRDefault="00CE327C" w:rsidP="00512F52">
            <w:pPr>
              <w:spacing w:before="240" w:after="120"/>
              <w:rPr>
                <w:rFonts w:eastAsia="Calibri" w:cs="Arial"/>
                <w:noProof/>
                <w:color w:val="auto"/>
              </w:rPr>
            </w:pPr>
            <w:r>
              <w:rPr>
                <w:color w:val="auto"/>
              </w:rPr>
              <w:t>Vrai</w:t>
            </w:r>
          </w:p>
        </w:tc>
        <w:tc>
          <w:tcPr>
            <w:tcW w:w="1172" w:type="dxa"/>
          </w:tcPr>
          <w:p w:rsidR="00CE327C" w:rsidRPr="00CE327C" w:rsidRDefault="00CE327C" w:rsidP="00512F52">
            <w:pPr>
              <w:spacing w:before="240" w:after="120"/>
              <w:rPr>
                <w:rFonts w:eastAsia="Calibri" w:cs="Arial"/>
                <w:noProof/>
                <w:color w:val="auto"/>
              </w:rPr>
            </w:pPr>
            <w:r>
              <w:rPr>
                <w:color w:val="auto"/>
              </w:rPr>
              <w:t>Faux</w:t>
            </w:r>
          </w:p>
        </w:tc>
      </w:tr>
      <w:tr w:rsidR="00CE327C" w:rsidRPr="00CE327C" w:rsidTr="00512F52">
        <w:tc>
          <w:tcPr>
            <w:tcW w:w="8217" w:type="dxa"/>
          </w:tcPr>
          <w:p w:rsidR="00CE327C" w:rsidRPr="00CE327C" w:rsidRDefault="00CE327C" w:rsidP="00512F52">
            <w:pPr>
              <w:pStyle w:val="ListParagraph"/>
              <w:numPr>
                <w:ilvl w:val="1"/>
                <w:numId w:val="21"/>
              </w:numPr>
              <w:spacing w:before="240" w:after="240"/>
              <w:ind w:left="1434" w:hanging="357"/>
              <w:contextualSpacing w:val="0"/>
              <w:rPr>
                <w:rFonts w:eastAsia="Calibri" w:cs="Arial"/>
                <w:noProof/>
                <w:color w:val="auto"/>
              </w:rPr>
            </w:pPr>
            <w:r>
              <w:rPr>
                <w:color w:val="auto"/>
              </w:rPr>
              <w:t>Il ne faut pas toucher ni distraire un animal d’assistance.</w:t>
            </w:r>
          </w:p>
        </w:tc>
        <w:tc>
          <w:tcPr>
            <w:tcW w:w="1134" w:type="dxa"/>
          </w:tcPr>
          <w:p w:rsidR="00CE327C" w:rsidRPr="00CE327C" w:rsidRDefault="00CE327C" w:rsidP="00512F52">
            <w:pPr>
              <w:spacing w:before="240" w:after="120"/>
              <w:rPr>
                <w:rFonts w:eastAsia="Calibri" w:cs="Arial"/>
                <w:noProof/>
                <w:color w:val="auto"/>
              </w:rPr>
            </w:pPr>
            <w:r>
              <w:rPr>
                <w:color w:val="auto"/>
              </w:rPr>
              <w:t>Vrai</w:t>
            </w:r>
          </w:p>
        </w:tc>
        <w:tc>
          <w:tcPr>
            <w:tcW w:w="1172" w:type="dxa"/>
          </w:tcPr>
          <w:p w:rsidR="00CE327C" w:rsidRPr="00CE327C" w:rsidRDefault="00CE327C" w:rsidP="00512F52">
            <w:pPr>
              <w:spacing w:before="240" w:after="120"/>
              <w:rPr>
                <w:rFonts w:eastAsia="Calibri" w:cs="Arial"/>
                <w:noProof/>
                <w:color w:val="auto"/>
              </w:rPr>
            </w:pPr>
            <w:r>
              <w:rPr>
                <w:color w:val="auto"/>
              </w:rPr>
              <w:t>Faux</w:t>
            </w:r>
          </w:p>
        </w:tc>
      </w:tr>
      <w:tr w:rsidR="00CE327C" w:rsidRPr="00CE327C" w:rsidTr="00512F52">
        <w:tc>
          <w:tcPr>
            <w:tcW w:w="8217" w:type="dxa"/>
          </w:tcPr>
          <w:p w:rsidR="00CE327C" w:rsidRPr="00CE327C" w:rsidRDefault="00CE327C" w:rsidP="00512F52">
            <w:pPr>
              <w:pStyle w:val="ListParagraph"/>
              <w:numPr>
                <w:ilvl w:val="1"/>
                <w:numId w:val="21"/>
              </w:numPr>
              <w:spacing w:before="240" w:after="240"/>
              <w:ind w:left="1434" w:hanging="357"/>
              <w:contextualSpacing w:val="0"/>
              <w:rPr>
                <w:rFonts w:eastAsia="Calibri" w:cs="Arial"/>
                <w:noProof/>
                <w:color w:val="auto"/>
              </w:rPr>
            </w:pPr>
            <w:r>
              <w:rPr>
                <w:color w:val="auto"/>
              </w:rPr>
              <w:lastRenderedPageBreak/>
              <w:t>Les personnes de confiance se font toujours payer.</w:t>
            </w:r>
            <w:r>
              <w:rPr>
                <w:color w:val="auto"/>
              </w:rPr>
              <w:tab/>
            </w:r>
          </w:p>
        </w:tc>
        <w:tc>
          <w:tcPr>
            <w:tcW w:w="1134" w:type="dxa"/>
          </w:tcPr>
          <w:p w:rsidR="00CE327C" w:rsidRPr="00CE327C" w:rsidRDefault="00CE327C" w:rsidP="00512F52">
            <w:pPr>
              <w:spacing w:before="240" w:after="120"/>
              <w:rPr>
                <w:rFonts w:eastAsia="Calibri" w:cs="Arial"/>
                <w:noProof/>
                <w:color w:val="auto"/>
              </w:rPr>
            </w:pPr>
            <w:r>
              <w:rPr>
                <w:color w:val="auto"/>
              </w:rPr>
              <w:t>Vrai</w:t>
            </w:r>
          </w:p>
        </w:tc>
        <w:tc>
          <w:tcPr>
            <w:tcW w:w="1172" w:type="dxa"/>
          </w:tcPr>
          <w:p w:rsidR="00CE327C" w:rsidRPr="00CE327C" w:rsidRDefault="00CE327C" w:rsidP="00512F52">
            <w:pPr>
              <w:spacing w:before="240" w:after="120"/>
              <w:rPr>
                <w:rFonts w:eastAsia="Calibri" w:cs="Arial"/>
                <w:noProof/>
                <w:color w:val="auto"/>
              </w:rPr>
            </w:pPr>
            <w:r>
              <w:rPr>
                <w:color w:val="auto"/>
              </w:rPr>
              <w:t>Faux</w:t>
            </w:r>
          </w:p>
        </w:tc>
      </w:tr>
      <w:tr w:rsidR="00CE327C" w:rsidRPr="00CE327C" w:rsidTr="00512F52">
        <w:tc>
          <w:tcPr>
            <w:tcW w:w="8217" w:type="dxa"/>
          </w:tcPr>
          <w:p w:rsidR="00CE327C" w:rsidRPr="00CE327C" w:rsidRDefault="00CE327C" w:rsidP="00512F52">
            <w:pPr>
              <w:pStyle w:val="ListParagraph"/>
              <w:numPr>
                <w:ilvl w:val="1"/>
                <w:numId w:val="21"/>
              </w:numPr>
              <w:spacing w:before="240" w:after="240"/>
              <w:ind w:left="1434" w:hanging="357"/>
              <w:contextualSpacing w:val="0"/>
              <w:rPr>
                <w:rFonts w:eastAsia="Calibri" w:cs="Arial"/>
                <w:noProof/>
                <w:color w:val="auto"/>
              </w:rPr>
            </w:pPr>
            <w:r>
              <w:rPr>
                <w:color w:val="auto"/>
              </w:rPr>
              <w:t>Il faut rester concentré sur la personne handicapée et non pas sur la personne de confiance.</w:t>
            </w:r>
          </w:p>
        </w:tc>
        <w:tc>
          <w:tcPr>
            <w:tcW w:w="1134" w:type="dxa"/>
          </w:tcPr>
          <w:p w:rsidR="00CE327C" w:rsidRPr="00CE327C" w:rsidRDefault="00CE327C" w:rsidP="00512F52">
            <w:pPr>
              <w:spacing w:before="480" w:after="120"/>
              <w:rPr>
                <w:rFonts w:eastAsia="Calibri" w:cs="Arial"/>
                <w:noProof/>
                <w:color w:val="auto"/>
              </w:rPr>
            </w:pPr>
            <w:r>
              <w:rPr>
                <w:color w:val="auto"/>
              </w:rPr>
              <w:t>Vrai</w:t>
            </w:r>
          </w:p>
        </w:tc>
        <w:tc>
          <w:tcPr>
            <w:tcW w:w="1172" w:type="dxa"/>
          </w:tcPr>
          <w:p w:rsidR="00CE327C" w:rsidRPr="00CE327C" w:rsidRDefault="00CE327C" w:rsidP="00512F52">
            <w:pPr>
              <w:spacing w:before="480" w:after="120"/>
              <w:rPr>
                <w:rFonts w:eastAsia="Calibri" w:cs="Arial"/>
                <w:noProof/>
                <w:color w:val="auto"/>
              </w:rPr>
            </w:pPr>
            <w:r>
              <w:rPr>
                <w:color w:val="auto"/>
              </w:rPr>
              <w:t>Faux</w:t>
            </w:r>
          </w:p>
        </w:tc>
      </w:tr>
      <w:tr w:rsidR="00CE327C" w:rsidRPr="00CE327C" w:rsidTr="00512F52">
        <w:tc>
          <w:tcPr>
            <w:tcW w:w="8217" w:type="dxa"/>
          </w:tcPr>
          <w:p w:rsidR="00CE327C" w:rsidRPr="00CE327C" w:rsidRDefault="00CE327C" w:rsidP="00512F52">
            <w:pPr>
              <w:pStyle w:val="ListParagraph"/>
              <w:numPr>
                <w:ilvl w:val="1"/>
                <w:numId w:val="21"/>
              </w:numPr>
              <w:spacing w:before="240" w:after="240"/>
              <w:ind w:left="1434" w:hanging="357"/>
              <w:contextualSpacing w:val="0"/>
              <w:rPr>
                <w:rFonts w:eastAsia="Calibri" w:cs="Arial"/>
                <w:noProof/>
                <w:color w:val="auto"/>
              </w:rPr>
            </w:pPr>
            <w:r>
              <w:rPr>
                <w:color w:val="auto"/>
              </w:rPr>
              <w:t>Il faut immédiatement prévenir s’il n’y a pas de toilette ou d’ascenseur accessible.</w:t>
            </w:r>
          </w:p>
        </w:tc>
        <w:tc>
          <w:tcPr>
            <w:tcW w:w="1134" w:type="dxa"/>
          </w:tcPr>
          <w:p w:rsidR="00CE327C" w:rsidRPr="00CE327C" w:rsidRDefault="00CE327C" w:rsidP="00512F52">
            <w:pPr>
              <w:spacing w:before="480" w:after="120"/>
              <w:rPr>
                <w:rFonts w:eastAsia="Calibri" w:cs="Arial"/>
                <w:noProof/>
                <w:color w:val="auto"/>
              </w:rPr>
            </w:pPr>
            <w:r>
              <w:rPr>
                <w:color w:val="auto"/>
              </w:rPr>
              <w:t>Vrai</w:t>
            </w:r>
          </w:p>
        </w:tc>
        <w:tc>
          <w:tcPr>
            <w:tcW w:w="1172" w:type="dxa"/>
          </w:tcPr>
          <w:p w:rsidR="00CE327C" w:rsidRPr="00CE327C" w:rsidRDefault="00CE327C" w:rsidP="00512F52">
            <w:pPr>
              <w:spacing w:before="480" w:after="120"/>
              <w:rPr>
                <w:rFonts w:eastAsia="Calibri" w:cs="Arial"/>
                <w:noProof/>
                <w:color w:val="auto"/>
              </w:rPr>
            </w:pPr>
            <w:r>
              <w:rPr>
                <w:color w:val="auto"/>
              </w:rPr>
              <w:t>Faux</w:t>
            </w:r>
          </w:p>
        </w:tc>
      </w:tr>
      <w:tr w:rsidR="00CE327C" w:rsidRPr="00CE327C" w:rsidTr="00512F52">
        <w:tc>
          <w:tcPr>
            <w:tcW w:w="8217" w:type="dxa"/>
          </w:tcPr>
          <w:p w:rsidR="00CE327C" w:rsidRPr="00CE327C" w:rsidRDefault="00CE327C" w:rsidP="00512F52">
            <w:pPr>
              <w:pStyle w:val="ListParagraph"/>
              <w:numPr>
                <w:ilvl w:val="1"/>
                <w:numId w:val="21"/>
              </w:numPr>
              <w:spacing w:before="240" w:after="240"/>
              <w:ind w:left="1434" w:hanging="357"/>
              <w:contextualSpacing w:val="0"/>
              <w:rPr>
                <w:rFonts w:eastAsia="Calibri" w:cs="Arial"/>
                <w:noProof/>
                <w:color w:val="auto"/>
              </w:rPr>
            </w:pPr>
            <w:r>
              <w:rPr>
                <w:color w:val="auto"/>
              </w:rPr>
              <w:t>Les couloirs doivent être dégagés et, notamment, sans détritus, boîtes de recyclage ou panneaux de signalisation (au sol).</w:t>
            </w:r>
          </w:p>
        </w:tc>
        <w:tc>
          <w:tcPr>
            <w:tcW w:w="1134" w:type="dxa"/>
          </w:tcPr>
          <w:p w:rsidR="00CE327C" w:rsidRPr="00CE327C" w:rsidRDefault="00CE327C" w:rsidP="00512F52">
            <w:pPr>
              <w:spacing w:before="480" w:after="120"/>
              <w:rPr>
                <w:rFonts w:eastAsia="Calibri" w:cs="Arial"/>
                <w:noProof/>
                <w:color w:val="auto"/>
              </w:rPr>
            </w:pPr>
            <w:r>
              <w:rPr>
                <w:color w:val="auto"/>
              </w:rPr>
              <w:t>Vrai</w:t>
            </w:r>
          </w:p>
        </w:tc>
        <w:tc>
          <w:tcPr>
            <w:tcW w:w="1172" w:type="dxa"/>
          </w:tcPr>
          <w:p w:rsidR="00CE327C" w:rsidRPr="00CE327C" w:rsidRDefault="00CE327C" w:rsidP="00512F52">
            <w:pPr>
              <w:spacing w:before="480" w:after="120"/>
              <w:rPr>
                <w:rFonts w:eastAsia="Calibri" w:cs="Arial"/>
                <w:noProof/>
                <w:color w:val="auto"/>
              </w:rPr>
            </w:pPr>
            <w:r>
              <w:rPr>
                <w:color w:val="auto"/>
              </w:rPr>
              <w:t>Faux</w:t>
            </w:r>
          </w:p>
        </w:tc>
      </w:tr>
      <w:tr w:rsidR="00CE327C" w:rsidRPr="00CE327C" w:rsidTr="00512F52">
        <w:tc>
          <w:tcPr>
            <w:tcW w:w="8217" w:type="dxa"/>
          </w:tcPr>
          <w:p w:rsidR="00CE327C" w:rsidRPr="00CE327C" w:rsidRDefault="00CE327C" w:rsidP="00512F52">
            <w:pPr>
              <w:pStyle w:val="ListParagraph"/>
              <w:numPr>
                <w:ilvl w:val="1"/>
                <w:numId w:val="21"/>
              </w:numPr>
              <w:spacing w:before="240" w:after="240"/>
              <w:ind w:left="1434" w:hanging="357"/>
              <w:contextualSpacing w:val="0"/>
              <w:rPr>
                <w:rFonts w:eastAsia="Calibri" w:cs="Arial"/>
                <w:noProof/>
                <w:color w:val="auto"/>
              </w:rPr>
            </w:pPr>
            <w:r>
              <w:rPr>
                <w:color w:val="auto"/>
              </w:rPr>
              <w:t>On peut présumer qu’un client est sous l’effet de l’alcool ou de drogues quand il a de la difficulté à parler ou que sa démarche est instable.</w:t>
            </w:r>
          </w:p>
        </w:tc>
        <w:tc>
          <w:tcPr>
            <w:tcW w:w="1134" w:type="dxa"/>
          </w:tcPr>
          <w:p w:rsidR="00CE327C" w:rsidRPr="00CE327C" w:rsidRDefault="00CE327C" w:rsidP="00512F52">
            <w:pPr>
              <w:spacing w:before="840" w:after="120"/>
              <w:rPr>
                <w:rFonts w:eastAsia="Calibri" w:cs="Arial"/>
                <w:noProof/>
                <w:color w:val="auto"/>
              </w:rPr>
            </w:pPr>
            <w:r>
              <w:rPr>
                <w:color w:val="auto"/>
              </w:rPr>
              <w:t>Vrai</w:t>
            </w:r>
          </w:p>
        </w:tc>
        <w:tc>
          <w:tcPr>
            <w:tcW w:w="1172" w:type="dxa"/>
          </w:tcPr>
          <w:p w:rsidR="00CE327C" w:rsidRPr="00CE327C" w:rsidRDefault="00CE327C" w:rsidP="00512F52">
            <w:pPr>
              <w:spacing w:before="840" w:after="120"/>
              <w:rPr>
                <w:rFonts w:eastAsia="Calibri" w:cs="Arial"/>
                <w:noProof/>
                <w:color w:val="auto"/>
              </w:rPr>
            </w:pPr>
            <w:r>
              <w:rPr>
                <w:color w:val="auto"/>
              </w:rPr>
              <w:t>Faux</w:t>
            </w:r>
          </w:p>
        </w:tc>
      </w:tr>
    </w:tbl>
    <w:p w:rsidR="00CE327C" w:rsidRPr="00CE327C" w:rsidRDefault="00CE327C" w:rsidP="00CE327C">
      <w:pPr>
        <w:rPr>
          <w:b/>
          <w:noProof/>
          <w:color w:val="auto"/>
          <w:lang w:val="en-CA"/>
        </w:rPr>
      </w:pPr>
    </w:p>
    <w:p w:rsidR="00CE327C" w:rsidRPr="00CE327C" w:rsidRDefault="00CE327C" w:rsidP="00CE327C">
      <w:pPr>
        <w:pStyle w:val="Heading3"/>
        <w:rPr>
          <w:b w:val="0"/>
          <w:noProof/>
          <w:color w:val="auto"/>
        </w:rPr>
      </w:pPr>
      <w:r>
        <w:rPr>
          <w:color w:val="auto"/>
        </w:rPr>
        <w:t>Derniers scénarios à examiner :</w:t>
      </w:r>
    </w:p>
    <w:p w:rsidR="00CE327C" w:rsidRPr="00CE327C" w:rsidRDefault="00CE327C" w:rsidP="00CE327C">
      <w:pPr>
        <w:spacing w:before="240" w:after="120"/>
        <w:rPr>
          <w:noProof/>
          <w:color w:val="auto"/>
        </w:rPr>
      </w:pPr>
      <w:r>
        <w:rPr>
          <w:color w:val="auto"/>
        </w:rPr>
        <w:t>Les scénarios suivants sont une occasion de résoudre des problèmes en collaboration.</w:t>
      </w:r>
    </w:p>
    <w:p w:rsidR="00CE327C" w:rsidRPr="00CE327C" w:rsidRDefault="00CE327C" w:rsidP="00CE327C">
      <w:pPr>
        <w:numPr>
          <w:ilvl w:val="0"/>
          <w:numId w:val="8"/>
        </w:numPr>
        <w:spacing w:after="120"/>
        <w:ind w:left="567" w:hanging="283"/>
        <w:rPr>
          <w:rFonts w:eastAsia="Calibri" w:cs="Arial"/>
          <w:noProof/>
          <w:color w:val="auto"/>
        </w:rPr>
      </w:pPr>
      <w:r>
        <w:rPr>
          <w:color w:val="auto"/>
        </w:rPr>
        <w:t>Renée a de multiples handicaps. La personne fournissant le service présume que Renée ne peut pas communiquer ni prendre ses propres décisions, et elle s’adresse directement à la personne de confiance. Quelle est la barrière? À quel meilleur service Renée pourrait-elle s’attendre?</w:t>
      </w:r>
    </w:p>
    <w:p w:rsidR="00CE327C" w:rsidRPr="00CE327C" w:rsidRDefault="00CE327C" w:rsidP="00CE327C">
      <w:pPr>
        <w:numPr>
          <w:ilvl w:val="0"/>
          <w:numId w:val="8"/>
        </w:numPr>
        <w:spacing w:before="360" w:after="120"/>
        <w:ind w:left="568" w:hanging="284"/>
        <w:rPr>
          <w:rFonts w:eastAsia="Calibri" w:cs="Arial"/>
          <w:noProof/>
          <w:color w:val="auto"/>
        </w:rPr>
      </w:pPr>
      <w:r>
        <w:rPr>
          <w:color w:val="auto"/>
        </w:rPr>
        <w:t>Frank utilise un fauteuil roulant et il est malentendant. Le comptoir est haut et la salle est bruyante. Il indique qu’il ne comprend pas votre réponse. Quelle est la barrière? Comment pouvez-vous offrir un meilleur service à Frank?</w:t>
      </w:r>
    </w:p>
    <w:p w:rsidR="00CE327C" w:rsidRPr="00CE327C" w:rsidRDefault="00CE327C" w:rsidP="00CE327C">
      <w:pPr>
        <w:numPr>
          <w:ilvl w:val="0"/>
          <w:numId w:val="8"/>
        </w:numPr>
        <w:spacing w:before="360" w:after="120"/>
        <w:ind w:left="567" w:hanging="425"/>
        <w:rPr>
          <w:rFonts w:eastAsia="Calibri" w:cs="Arial"/>
          <w:noProof/>
          <w:color w:val="auto"/>
        </w:rPr>
      </w:pPr>
      <w:r>
        <w:rPr>
          <w:color w:val="auto"/>
        </w:rPr>
        <w:t>Il y a un escalier à la porte d’entrée de votre organisme. Quelle est la barrière? Songez à des façons d’offrir un service à la clientèle qui est équitable.</w:t>
      </w:r>
    </w:p>
    <w:p w:rsidR="00CE327C" w:rsidRPr="00CE327C" w:rsidRDefault="00CE327C" w:rsidP="00CE327C">
      <w:pPr>
        <w:numPr>
          <w:ilvl w:val="0"/>
          <w:numId w:val="8"/>
        </w:numPr>
        <w:spacing w:before="360" w:after="120"/>
        <w:ind w:left="567" w:hanging="425"/>
        <w:rPr>
          <w:rFonts w:eastAsia="Calibri" w:cs="Arial"/>
          <w:noProof/>
          <w:color w:val="auto"/>
        </w:rPr>
      </w:pPr>
      <w:r>
        <w:rPr>
          <w:color w:val="auto"/>
        </w:rPr>
        <w:t>Vous offrez un bon de réduction sur vos biens ou services. Vous informez vos clients qu’il n’est disponible qu’en ligne. Quelles sont les barrières possibles? Que pouvez-vous faire pour que tout le monde puisse profiter de ce bon?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3"/>
        <w:gridCol w:w="2450"/>
      </w:tblGrid>
      <w:tr w:rsidR="00CE327C" w:rsidRPr="00CE327C" w:rsidTr="00512F52">
        <w:tc>
          <w:tcPr>
            <w:tcW w:w="3837" w:type="pct"/>
          </w:tcPr>
          <w:p w:rsidR="00CE327C" w:rsidRPr="00CE327C" w:rsidRDefault="00CE327C" w:rsidP="00512F52">
            <w:pPr>
              <w:numPr>
                <w:ilvl w:val="0"/>
                <w:numId w:val="8"/>
              </w:numPr>
              <w:spacing w:before="360" w:after="120"/>
              <w:ind w:left="567" w:hanging="567"/>
              <w:rPr>
                <w:rFonts w:eastAsia="Calibri" w:cs="Arial"/>
                <w:noProof/>
                <w:color w:val="auto"/>
              </w:rPr>
            </w:pPr>
            <w:r>
              <w:rPr>
                <w:color w:val="auto"/>
              </w:rPr>
              <w:lastRenderedPageBreak/>
              <w:t>Imaginez que le texte suivant figure sur une page de brochure. Comment pouvez-vous le rendre plus accessible?</w:t>
            </w:r>
          </w:p>
          <w:p w:rsidR="00CE327C" w:rsidRPr="00CE327C" w:rsidRDefault="00CE327C" w:rsidP="00512F52">
            <w:pPr>
              <w:spacing w:before="360"/>
              <w:ind w:left="357"/>
              <w:rPr>
                <w:rFonts w:ascii="Brush Script MT" w:hAnsi="Brush Script MT" w:cs="Arial"/>
                <w:b/>
                <w:noProof/>
                <w:color w:val="auto"/>
                <w:sz w:val="24"/>
              </w:rPr>
            </w:pPr>
            <w:r>
              <w:rPr>
                <w:rFonts w:ascii="Brush Script MT" w:hAnsi="Brush Script MT"/>
                <w:b/>
                <w:color w:val="auto"/>
                <w:sz w:val="24"/>
              </w:rPr>
              <w:t>LOI SUR L'ACCESSIBILITÉ POUR LES MANITOBAINS</w:t>
            </w:r>
          </w:p>
          <w:p w:rsidR="00CE327C" w:rsidRPr="00CE327C" w:rsidRDefault="00CE327C" w:rsidP="00512F52">
            <w:pPr>
              <w:pStyle w:val="ListParagraph"/>
              <w:rPr>
                <w:rFonts w:ascii="Brush Script MT" w:hAnsi="Brush Script MT" w:cs="Arial"/>
                <w:i/>
                <w:noProof/>
                <w:color w:val="auto"/>
                <w:sz w:val="20"/>
                <w:szCs w:val="20"/>
              </w:rPr>
            </w:pPr>
            <w:r>
              <w:rPr>
                <w:rFonts w:ascii="Brush Script MT" w:hAnsi="Brush Script MT"/>
                <w:i/>
                <w:color w:val="auto"/>
                <w:sz w:val="20"/>
                <w:szCs w:val="20"/>
              </w:rPr>
              <w:t>Adoptée en décembre 2013</w:t>
            </w:r>
          </w:p>
          <w:p w:rsidR="00CE327C" w:rsidRPr="00CE327C" w:rsidRDefault="00CE327C" w:rsidP="00512F52">
            <w:pPr>
              <w:pStyle w:val="ListParagraph"/>
              <w:rPr>
                <w:rFonts w:ascii="Brush Script MT" w:hAnsi="Brush Script MT" w:cs="Arial"/>
                <w:b/>
                <w:noProof/>
                <w:color w:val="auto"/>
                <w:sz w:val="20"/>
                <w:szCs w:val="20"/>
              </w:rPr>
            </w:pPr>
            <w:r>
              <w:rPr>
                <w:rFonts w:ascii="Brush Script MT" w:hAnsi="Brush Script MT"/>
                <w:b/>
                <w:color w:val="auto"/>
                <w:sz w:val="20"/>
                <w:szCs w:val="20"/>
              </w:rPr>
              <w:t>Principaux objectifs :</w:t>
            </w:r>
          </w:p>
          <w:p w:rsidR="00CE327C" w:rsidRPr="00CE327C" w:rsidRDefault="00CE327C" w:rsidP="00512F52">
            <w:pPr>
              <w:pStyle w:val="ListParagraph"/>
              <w:rPr>
                <w:rFonts w:ascii="Brush Script MT" w:hAnsi="Brush Script MT" w:cs="Arial"/>
                <w:noProof/>
                <w:color w:val="auto"/>
                <w:sz w:val="20"/>
                <w:szCs w:val="20"/>
              </w:rPr>
            </w:pPr>
            <w:r>
              <w:rPr>
                <w:rFonts w:ascii="Brush Script MT" w:hAnsi="Brush Script MT"/>
                <w:color w:val="auto"/>
                <w:sz w:val="20"/>
                <w:szCs w:val="20"/>
              </w:rPr>
              <w:t>Déterminer, empêcher et supprimer les obstacles à la participation.</w:t>
            </w:r>
          </w:p>
          <w:p w:rsidR="00CE327C" w:rsidRPr="00CE327C" w:rsidRDefault="00CE327C" w:rsidP="00512F52">
            <w:pPr>
              <w:pStyle w:val="ListParagraph"/>
              <w:rPr>
                <w:rFonts w:ascii="Brush Script MT" w:hAnsi="Brush Script MT" w:cs="Arial"/>
                <w:noProof/>
                <w:color w:val="auto"/>
                <w:sz w:val="20"/>
                <w:szCs w:val="20"/>
              </w:rPr>
            </w:pPr>
            <w:r>
              <w:rPr>
                <w:rFonts w:ascii="Brush Script MT" w:hAnsi="Brush Script MT"/>
                <w:color w:val="auto"/>
                <w:sz w:val="20"/>
                <w:szCs w:val="20"/>
              </w:rPr>
              <w:t xml:space="preserve">Engagement à long terme visant à réaliser d'importants progrès d'ici 2023 pour que le Manitoba soit un endroit plus inclusif pour </w:t>
            </w:r>
            <w:r>
              <w:rPr>
                <w:rFonts w:ascii="Brush Script MT" w:hAnsi="Brush Script MT"/>
                <w:b/>
                <w:color w:val="auto"/>
                <w:sz w:val="20"/>
                <w:szCs w:val="20"/>
              </w:rPr>
              <w:t>tout le monde</w:t>
            </w:r>
            <w:r>
              <w:rPr>
                <w:rFonts w:ascii="Brush Script MT" w:hAnsi="Brush Script MT"/>
                <w:color w:val="auto"/>
                <w:sz w:val="20"/>
                <w:szCs w:val="20"/>
              </w:rPr>
              <w:t>.</w:t>
            </w:r>
          </w:p>
          <w:p w:rsidR="00CE327C" w:rsidRPr="0019168E" w:rsidRDefault="00CE327C" w:rsidP="00512F52">
            <w:pPr>
              <w:spacing w:before="80"/>
              <w:ind w:left="144" w:firstLine="29"/>
              <w:jc w:val="center"/>
              <w:rPr>
                <w:rFonts w:ascii="Papyrus" w:eastAsia="+mn-ea" w:hAnsi="Papyrus" w:cs="Arial"/>
                <w:noProof/>
                <w:color w:val="ED7D31" w:themeColor="accent2"/>
                <w:sz w:val="20"/>
                <w:szCs w:val="20"/>
              </w:rPr>
            </w:pPr>
            <w:r w:rsidRPr="0019168E">
              <w:rPr>
                <w:rFonts w:ascii="Papyrus" w:hAnsi="Papyrus"/>
                <w:color w:val="ED7D31" w:themeColor="accent2"/>
                <w:sz w:val="20"/>
                <w:szCs w:val="20"/>
              </w:rPr>
              <w:t>Si vous avez des questions, veuillez composer le</w:t>
            </w:r>
          </w:p>
          <w:p w:rsidR="00CE327C" w:rsidRPr="0019168E" w:rsidRDefault="00CE327C" w:rsidP="00512F52">
            <w:pPr>
              <w:spacing w:before="80"/>
              <w:ind w:left="144" w:firstLine="29"/>
              <w:jc w:val="center"/>
              <w:rPr>
                <w:rFonts w:ascii="Papyrus" w:eastAsia="+mn-ea" w:hAnsi="Papyrus" w:cs="Arial"/>
                <w:noProof/>
                <w:color w:val="ED7D31" w:themeColor="accent2"/>
                <w:sz w:val="20"/>
                <w:szCs w:val="20"/>
              </w:rPr>
            </w:pPr>
            <w:r w:rsidRPr="0019168E">
              <w:rPr>
                <w:rFonts w:ascii="Papyrus" w:hAnsi="Papyrus"/>
                <w:b/>
                <w:bCs/>
                <w:color w:val="ED7D31" w:themeColor="accent2"/>
                <w:sz w:val="20"/>
                <w:szCs w:val="20"/>
              </w:rPr>
              <w:t>204 945-7613</w:t>
            </w:r>
            <w:r w:rsidRPr="0019168E">
              <w:rPr>
                <w:rFonts w:ascii="Papyrus" w:hAnsi="Papyrus"/>
                <w:color w:val="ED7D31" w:themeColor="accent2"/>
                <w:sz w:val="20"/>
                <w:szCs w:val="20"/>
              </w:rPr>
              <w:t xml:space="preserve"> ou visiter </w:t>
            </w:r>
            <w:hyperlink r:id="rId16" w:history="1">
              <w:r w:rsidR="0019168E">
                <w:rPr>
                  <w:rFonts w:ascii="Papyrus" w:hAnsi="Papyrus"/>
                  <w:color w:val="ED7D31" w:themeColor="accent2"/>
                  <w:sz w:val="20"/>
                  <w:szCs w:val="20"/>
                  <w:u w:val="single"/>
                </w:rPr>
                <w:t>AccessibiliteMB.ca</w:t>
              </w:r>
            </w:hyperlink>
          </w:p>
          <w:p w:rsidR="00CE327C" w:rsidRPr="0019168E" w:rsidRDefault="00CE327C" w:rsidP="00512F52">
            <w:pPr>
              <w:spacing w:before="80"/>
              <w:ind w:left="576" w:hanging="403"/>
              <w:jc w:val="center"/>
              <w:rPr>
                <w:rFonts w:ascii="Papyrus" w:eastAsia="+mn-ea" w:hAnsi="Papyrus" w:cs="Arial"/>
                <w:noProof/>
                <w:color w:val="ED7D31" w:themeColor="accent2"/>
                <w:sz w:val="20"/>
                <w:szCs w:val="20"/>
              </w:rPr>
            </w:pPr>
            <w:r w:rsidRPr="0019168E">
              <w:rPr>
                <w:rFonts w:ascii="Papyrus" w:hAnsi="Papyrus"/>
                <w:color w:val="ED7D31" w:themeColor="accent2"/>
                <w:sz w:val="20"/>
                <w:szCs w:val="20"/>
              </w:rPr>
              <w:t>Joignez-vous à la conversation #</w:t>
            </w:r>
            <w:proofErr w:type="spellStart"/>
            <w:r w:rsidRPr="0019168E">
              <w:rPr>
                <w:rFonts w:ascii="Papyrus" w:hAnsi="Papyrus"/>
                <w:color w:val="ED7D31" w:themeColor="accent2"/>
                <w:sz w:val="20"/>
                <w:szCs w:val="20"/>
              </w:rPr>
              <w:t>AccessibleMB</w:t>
            </w:r>
            <w:proofErr w:type="spellEnd"/>
            <w:r w:rsidRPr="0019168E">
              <w:rPr>
                <w:rFonts w:ascii="Papyrus" w:hAnsi="Papyrus"/>
                <w:color w:val="ED7D31" w:themeColor="accent2"/>
                <w:sz w:val="20"/>
                <w:szCs w:val="20"/>
              </w:rPr>
              <w:t xml:space="preserve"> sur</w:t>
            </w:r>
          </w:p>
          <w:p w:rsidR="00CE327C" w:rsidRPr="00CE327C" w:rsidRDefault="0019168E" w:rsidP="00512F52">
            <w:pPr>
              <w:spacing w:before="80"/>
              <w:ind w:left="576" w:hanging="403"/>
              <w:jc w:val="center"/>
              <w:rPr>
                <w:rFonts w:ascii="Papyrus" w:eastAsia="+mn-ea" w:hAnsi="Papyrus" w:cs="Arial"/>
                <w:noProof/>
                <w:color w:val="auto"/>
                <w:sz w:val="20"/>
                <w:szCs w:val="20"/>
              </w:rPr>
            </w:pPr>
            <w:hyperlink r:id="rId17" w:history="1">
              <w:r w:rsidR="00A24C54" w:rsidRPr="0019168E">
                <w:rPr>
                  <w:rFonts w:ascii="Papyrus" w:hAnsi="Papyrus"/>
                  <w:color w:val="ED7D31" w:themeColor="accent2"/>
                  <w:sz w:val="20"/>
                  <w:szCs w:val="20"/>
                  <w:u w:val="single"/>
                </w:rPr>
                <w:t>Twitter</w:t>
              </w:r>
            </w:hyperlink>
            <w:r w:rsidR="00A24C54" w:rsidRPr="0019168E">
              <w:rPr>
                <w:rFonts w:ascii="Papyrus" w:hAnsi="Papyrus"/>
                <w:color w:val="ED7D31" w:themeColor="accent2"/>
                <w:sz w:val="20"/>
                <w:szCs w:val="20"/>
              </w:rPr>
              <w:t xml:space="preserve"> &amp; </w:t>
            </w:r>
            <w:hyperlink r:id="rId18" w:history="1">
              <w:r w:rsidR="00A24C54" w:rsidRPr="0019168E">
                <w:rPr>
                  <w:rFonts w:ascii="Papyrus" w:hAnsi="Papyrus"/>
                  <w:color w:val="ED7D31" w:themeColor="accent2"/>
                  <w:sz w:val="20"/>
                  <w:szCs w:val="20"/>
                  <w:u w:val="single"/>
                </w:rPr>
                <w:t>Facebook</w:t>
              </w:r>
            </w:hyperlink>
            <w:r w:rsidR="00A24C54" w:rsidRPr="0019168E">
              <w:rPr>
                <w:rFonts w:ascii="Papyrus" w:hAnsi="Papyrus"/>
                <w:color w:val="ED7D31" w:themeColor="accent2"/>
                <w:sz w:val="20"/>
                <w:szCs w:val="20"/>
              </w:rPr>
              <w:t>!</w:t>
            </w:r>
          </w:p>
        </w:tc>
        <w:tc>
          <w:tcPr>
            <w:tcW w:w="1163" w:type="pct"/>
          </w:tcPr>
          <w:p w:rsidR="00CE327C" w:rsidRPr="00CE327C" w:rsidRDefault="00CE327C" w:rsidP="00512F52">
            <w:pPr>
              <w:spacing w:before="360" w:after="120"/>
              <w:jc w:val="right"/>
              <w:rPr>
                <w:rFonts w:eastAsia="Calibri" w:cs="Arial"/>
                <w:noProof/>
                <w:color w:val="auto"/>
              </w:rPr>
            </w:pPr>
            <w:r w:rsidRPr="00CE327C">
              <w:rPr>
                <w:rFonts w:eastAsia="Calibri" w:cs="Arial"/>
                <w:noProof/>
                <w:color w:val="auto"/>
                <w:lang w:val="en-CA" w:eastAsia="en-CA"/>
              </w:rPr>
              <w:drawing>
                <wp:inline distT="0" distB="0" distL="0" distR="0" wp14:anchorId="479AE975" wp14:editId="1CFB0F36">
                  <wp:extent cx="1359535" cy="2712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9535" cy="2712720"/>
                          </a:xfrm>
                          <a:prstGeom prst="rect">
                            <a:avLst/>
                          </a:prstGeom>
                          <a:noFill/>
                        </pic:spPr>
                      </pic:pic>
                    </a:graphicData>
                  </a:graphic>
                </wp:inline>
              </w:drawing>
            </w:r>
          </w:p>
        </w:tc>
      </w:tr>
    </w:tbl>
    <w:p w:rsidR="00CE327C" w:rsidRPr="00CE327C" w:rsidRDefault="00CE327C" w:rsidP="00CE327C">
      <w:pPr>
        <w:rPr>
          <w:rFonts w:eastAsia="Calibri" w:cs="Calibri"/>
          <w:b/>
          <w:noProof/>
          <w:color w:val="auto"/>
          <w:szCs w:val="28"/>
        </w:rPr>
      </w:pPr>
      <w:r>
        <w:br w:type="page"/>
      </w:r>
      <w:bookmarkStart w:id="0" w:name="_GoBack"/>
      <w:bookmarkEnd w:id="0"/>
    </w:p>
    <w:p w:rsidR="00CE327C" w:rsidRPr="00CE327C" w:rsidRDefault="00CE327C" w:rsidP="00A24C54">
      <w:pPr>
        <w:pStyle w:val="Heading2"/>
        <w:pBdr>
          <w:top w:val="single" w:sz="12" w:space="1" w:color="auto"/>
          <w:bottom w:val="single" w:sz="12" w:space="1" w:color="auto"/>
        </w:pBdr>
        <w:spacing w:before="360"/>
        <w:rPr>
          <w:b w:val="0"/>
          <w:noProof/>
          <w:color w:val="auto"/>
        </w:rPr>
      </w:pPr>
      <w:r>
        <w:rPr>
          <w:color w:val="auto"/>
        </w:rPr>
        <w:lastRenderedPageBreak/>
        <w:t>Feuille de réponses</w:t>
      </w:r>
    </w:p>
    <w:p w:rsidR="00CE327C" w:rsidRPr="00CE327C" w:rsidRDefault="00CE327C" w:rsidP="00CE327C">
      <w:pPr>
        <w:rPr>
          <w:noProof/>
          <w:color w:val="auto"/>
          <w:lang w:val="en-CA"/>
        </w:rPr>
      </w:pPr>
    </w:p>
    <w:p w:rsidR="00CE327C" w:rsidRPr="00CE327C" w:rsidRDefault="001778D2" w:rsidP="00CE327C">
      <w:pPr>
        <w:pStyle w:val="ListParagraph"/>
        <w:numPr>
          <w:ilvl w:val="0"/>
          <w:numId w:val="18"/>
        </w:numPr>
        <w:spacing w:after="40"/>
        <w:ind w:left="567" w:hanging="425"/>
        <w:contextualSpacing w:val="0"/>
        <w:rPr>
          <w:noProof/>
          <w:color w:val="auto"/>
        </w:rPr>
      </w:pPr>
      <w:proofErr w:type="gramStart"/>
      <w:r>
        <w:rPr>
          <w:color w:val="auto"/>
        </w:rPr>
        <w:t>f</w:t>
      </w:r>
      <w:proofErr w:type="gramEnd"/>
    </w:p>
    <w:p w:rsidR="00CE327C" w:rsidRPr="00CE327C" w:rsidRDefault="001778D2" w:rsidP="00CE327C">
      <w:pPr>
        <w:pStyle w:val="ListParagraph"/>
        <w:numPr>
          <w:ilvl w:val="0"/>
          <w:numId w:val="18"/>
        </w:numPr>
        <w:spacing w:after="40"/>
        <w:ind w:left="567" w:hanging="425"/>
        <w:contextualSpacing w:val="0"/>
        <w:rPr>
          <w:noProof/>
          <w:color w:val="auto"/>
        </w:rPr>
      </w:pPr>
      <w:proofErr w:type="gramStart"/>
      <w:r>
        <w:rPr>
          <w:color w:val="auto"/>
        </w:rPr>
        <w:t>a</w:t>
      </w:r>
      <w:proofErr w:type="gramEnd"/>
    </w:p>
    <w:p w:rsidR="00CE327C" w:rsidRPr="00CE327C" w:rsidRDefault="00CE327C" w:rsidP="00CE327C">
      <w:pPr>
        <w:pStyle w:val="ListParagraph"/>
        <w:numPr>
          <w:ilvl w:val="0"/>
          <w:numId w:val="18"/>
        </w:numPr>
        <w:spacing w:after="40"/>
        <w:ind w:left="567" w:hanging="425"/>
        <w:contextualSpacing w:val="0"/>
        <w:rPr>
          <w:noProof/>
          <w:color w:val="auto"/>
        </w:rPr>
      </w:pPr>
      <w:r>
        <w:rPr>
          <w:color w:val="auto"/>
        </w:rPr>
        <w:t>Non. La plupart des handicaps sont invisibles; dans la plupart des cas, il n'est pas possible de savoir si une personne se heurte à des obstacles à l’accessibilité simplement en la regardant.</w:t>
      </w:r>
    </w:p>
    <w:p w:rsidR="00CE327C" w:rsidRPr="00CE327C" w:rsidRDefault="001778D2" w:rsidP="00CE327C">
      <w:pPr>
        <w:pStyle w:val="ListParagraph"/>
        <w:numPr>
          <w:ilvl w:val="0"/>
          <w:numId w:val="18"/>
        </w:numPr>
        <w:spacing w:after="40"/>
        <w:ind w:left="567" w:hanging="425"/>
        <w:contextualSpacing w:val="0"/>
        <w:rPr>
          <w:noProof/>
          <w:color w:val="auto"/>
        </w:rPr>
      </w:pPr>
      <w:proofErr w:type="gramStart"/>
      <w:r>
        <w:rPr>
          <w:color w:val="auto"/>
        </w:rPr>
        <w:t>b</w:t>
      </w:r>
      <w:proofErr w:type="gramEnd"/>
    </w:p>
    <w:p w:rsidR="00CE327C" w:rsidRPr="00CE327C" w:rsidRDefault="00CE327C" w:rsidP="00CE327C">
      <w:pPr>
        <w:pStyle w:val="ListParagraph"/>
        <w:numPr>
          <w:ilvl w:val="0"/>
          <w:numId w:val="18"/>
        </w:numPr>
        <w:spacing w:after="40"/>
        <w:ind w:left="567" w:hanging="425"/>
        <w:contextualSpacing w:val="0"/>
        <w:rPr>
          <w:noProof/>
          <w:color w:val="auto"/>
        </w:rPr>
      </w:pPr>
      <w:proofErr w:type="gramStart"/>
      <w:r>
        <w:rPr>
          <w:color w:val="auto"/>
        </w:rPr>
        <w:t>d</w:t>
      </w:r>
      <w:proofErr w:type="gramEnd"/>
    </w:p>
    <w:p w:rsidR="00CE327C" w:rsidRPr="00CE327C" w:rsidRDefault="00CE327C" w:rsidP="00CE327C">
      <w:pPr>
        <w:pStyle w:val="ListParagraph"/>
        <w:numPr>
          <w:ilvl w:val="0"/>
          <w:numId w:val="18"/>
        </w:numPr>
        <w:spacing w:after="40"/>
        <w:ind w:left="567" w:hanging="425"/>
        <w:contextualSpacing w:val="0"/>
        <w:rPr>
          <w:noProof/>
          <w:color w:val="auto"/>
        </w:rPr>
      </w:pPr>
      <w:proofErr w:type="gramStart"/>
      <w:r>
        <w:rPr>
          <w:color w:val="auto"/>
        </w:rPr>
        <w:t>c</w:t>
      </w:r>
      <w:proofErr w:type="gramEnd"/>
    </w:p>
    <w:p w:rsidR="00CE327C" w:rsidRPr="00CE327C" w:rsidRDefault="00CE327C" w:rsidP="00CE327C">
      <w:pPr>
        <w:pStyle w:val="ListParagraph"/>
        <w:numPr>
          <w:ilvl w:val="0"/>
          <w:numId w:val="18"/>
        </w:numPr>
        <w:spacing w:after="40"/>
        <w:ind w:left="567" w:hanging="425"/>
        <w:contextualSpacing w:val="0"/>
        <w:rPr>
          <w:noProof/>
          <w:color w:val="auto"/>
        </w:rPr>
      </w:pPr>
      <w:r>
        <w:rPr>
          <w:color w:val="auto"/>
        </w:rPr>
        <w:t xml:space="preserve">a. Vrai </w:t>
      </w:r>
      <w:r>
        <w:rPr>
          <w:color w:val="auto"/>
        </w:rPr>
        <w:tab/>
        <w:t>b. Faux</w:t>
      </w:r>
    </w:p>
    <w:p w:rsidR="00CE327C" w:rsidRPr="00CE327C" w:rsidRDefault="00CE327C" w:rsidP="00CE327C">
      <w:pPr>
        <w:pStyle w:val="ListParagraph"/>
        <w:numPr>
          <w:ilvl w:val="0"/>
          <w:numId w:val="18"/>
        </w:numPr>
        <w:spacing w:after="40"/>
        <w:ind w:left="567" w:hanging="425"/>
        <w:contextualSpacing w:val="0"/>
        <w:rPr>
          <w:noProof/>
          <w:color w:val="auto"/>
        </w:rPr>
      </w:pPr>
      <w:r>
        <w:rPr>
          <w:color w:val="auto"/>
        </w:rPr>
        <w:t>Faux</w:t>
      </w:r>
    </w:p>
    <w:p w:rsidR="00CE327C" w:rsidRPr="00CE327C" w:rsidRDefault="00CE327C" w:rsidP="00CE327C">
      <w:pPr>
        <w:pStyle w:val="ListParagraph"/>
        <w:numPr>
          <w:ilvl w:val="0"/>
          <w:numId w:val="18"/>
        </w:numPr>
        <w:spacing w:after="40"/>
        <w:ind w:left="567" w:hanging="425"/>
        <w:contextualSpacing w:val="0"/>
        <w:rPr>
          <w:noProof/>
          <w:color w:val="auto"/>
        </w:rPr>
      </w:pPr>
      <w:r>
        <w:rPr>
          <w:color w:val="auto"/>
        </w:rPr>
        <w:t>Vrai</w:t>
      </w:r>
    </w:p>
    <w:p w:rsidR="00CE327C" w:rsidRPr="00CE327C" w:rsidRDefault="00CE327C" w:rsidP="00CE327C">
      <w:pPr>
        <w:pStyle w:val="ListParagraph"/>
        <w:numPr>
          <w:ilvl w:val="0"/>
          <w:numId w:val="18"/>
        </w:numPr>
        <w:spacing w:after="40"/>
        <w:ind w:left="567" w:hanging="425"/>
        <w:contextualSpacing w:val="0"/>
        <w:rPr>
          <w:noProof/>
          <w:color w:val="auto"/>
        </w:rPr>
      </w:pPr>
      <w:r>
        <w:rPr>
          <w:color w:val="auto"/>
        </w:rPr>
        <w:t>Faux</w:t>
      </w:r>
    </w:p>
    <w:p w:rsidR="00CE327C" w:rsidRPr="00CE327C" w:rsidRDefault="00CE327C" w:rsidP="00CE327C">
      <w:pPr>
        <w:pStyle w:val="ListParagraph"/>
        <w:numPr>
          <w:ilvl w:val="0"/>
          <w:numId w:val="18"/>
        </w:numPr>
        <w:spacing w:after="40"/>
        <w:ind w:left="567" w:hanging="425"/>
        <w:contextualSpacing w:val="0"/>
        <w:rPr>
          <w:noProof/>
          <w:color w:val="auto"/>
        </w:rPr>
      </w:pPr>
      <w:proofErr w:type="gramStart"/>
      <w:r>
        <w:rPr>
          <w:color w:val="auto"/>
        </w:rPr>
        <w:t>c</w:t>
      </w:r>
      <w:proofErr w:type="gramEnd"/>
    </w:p>
    <w:p w:rsidR="00CE327C" w:rsidRPr="00CE327C" w:rsidRDefault="00CE327C" w:rsidP="00CE327C">
      <w:pPr>
        <w:pStyle w:val="ListParagraph"/>
        <w:numPr>
          <w:ilvl w:val="0"/>
          <w:numId w:val="18"/>
        </w:numPr>
        <w:spacing w:after="40"/>
        <w:ind w:left="567" w:hanging="425"/>
        <w:contextualSpacing w:val="0"/>
        <w:rPr>
          <w:noProof/>
          <w:color w:val="auto"/>
        </w:rPr>
      </w:pPr>
      <w:r>
        <w:rPr>
          <w:color w:val="auto"/>
        </w:rPr>
        <w:t xml:space="preserve">a. Vrai </w:t>
      </w:r>
      <w:r>
        <w:rPr>
          <w:color w:val="auto"/>
        </w:rPr>
        <w:tab/>
        <w:t>b. Faux</w:t>
      </w:r>
      <w:r>
        <w:rPr>
          <w:color w:val="auto"/>
        </w:rPr>
        <w:tab/>
        <w:t>c. Faux</w:t>
      </w:r>
      <w:r>
        <w:rPr>
          <w:color w:val="auto"/>
        </w:rPr>
        <w:tab/>
        <w:t>d</w:t>
      </w:r>
      <w:r w:rsidR="001778D2">
        <w:rPr>
          <w:color w:val="auto"/>
        </w:rPr>
        <w:t>. Faux</w:t>
      </w:r>
      <w:r w:rsidR="001778D2">
        <w:rPr>
          <w:color w:val="auto"/>
        </w:rPr>
        <w:tab/>
        <w:t>e. Vrai</w:t>
      </w:r>
      <w:r w:rsidR="001778D2">
        <w:rPr>
          <w:color w:val="auto"/>
        </w:rPr>
        <w:tab/>
        <w:t>f. Faux</w:t>
      </w:r>
      <w:r w:rsidR="001778D2">
        <w:rPr>
          <w:color w:val="auto"/>
        </w:rPr>
        <w:tab/>
        <w:t>g. Vrai</w:t>
      </w:r>
    </w:p>
    <w:p w:rsidR="00CE327C" w:rsidRPr="00CE327C" w:rsidRDefault="00CE327C" w:rsidP="00CE327C">
      <w:pPr>
        <w:pStyle w:val="ListParagraph"/>
        <w:spacing w:after="40"/>
        <w:ind w:left="567"/>
        <w:contextualSpacing w:val="0"/>
        <w:rPr>
          <w:noProof/>
          <w:color w:val="auto"/>
        </w:rPr>
      </w:pPr>
      <w:r>
        <w:rPr>
          <w:color w:val="auto"/>
        </w:rPr>
        <w:t>h. Vrai</w:t>
      </w:r>
      <w:r>
        <w:rPr>
          <w:color w:val="auto"/>
        </w:rPr>
        <w:tab/>
      </w:r>
      <w:r w:rsidR="001778D2">
        <w:rPr>
          <w:color w:val="auto"/>
        </w:rPr>
        <w:tab/>
      </w:r>
      <w:r>
        <w:rPr>
          <w:color w:val="auto"/>
        </w:rPr>
        <w:t xml:space="preserve">i. Vrai </w:t>
      </w:r>
      <w:r>
        <w:rPr>
          <w:color w:val="auto"/>
        </w:rPr>
        <w:tab/>
        <w:t>j. Faux</w:t>
      </w:r>
    </w:p>
    <w:p w:rsidR="00CE327C" w:rsidRPr="00CE327C" w:rsidRDefault="00CE327C" w:rsidP="00CE327C">
      <w:pPr>
        <w:spacing w:before="360" w:after="240"/>
        <w:rPr>
          <w:noProof/>
          <w:color w:val="auto"/>
        </w:rPr>
      </w:pPr>
      <w:r>
        <w:rPr>
          <w:color w:val="auto"/>
        </w:rPr>
        <w:t>Scénarios (</w:t>
      </w:r>
      <w:r>
        <w:rPr>
          <w:i/>
          <w:color w:val="auto"/>
        </w:rPr>
        <w:t>Nota : il peut y avoir plusieurs réponses possibles</w:t>
      </w:r>
      <w:r>
        <w:rPr>
          <w:color w:val="auto"/>
        </w:rPr>
        <w:t>) :</w:t>
      </w:r>
    </w:p>
    <w:p w:rsidR="00CE327C" w:rsidRPr="00CE327C" w:rsidRDefault="00CE327C" w:rsidP="00CE327C">
      <w:pPr>
        <w:pStyle w:val="ListParagraph"/>
        <w:numPr>
          <w:ilvl w:val="0"/>
          <w:numId w:val="19"/>
        </w:numPr>
        <w:rPr>
          <w:noProof/>
          <w:color w:val="auto"/>
        </w:rPr>
      </w:pPr>
      <w:r>
        <w:rPr>
          <w:color w:val="auto"/>
        </w:rPr>
        <w:t>La barrière est comportementale. Renée devrait s’attendre à ce que le fournisseur de service s’adresse directement à elle.</w:t>
      </w:r>
    </w:p>
    <w:p w:rsidR="00CE327C" w:rsidRPr="00CE327C" w:rsidRDefault="00CE327C" w:rsidP="00CE327C">
      <w:pPr>
        <w:pStyle w:val="ListParagraph"/>
        <w:numPr>
          <w:ilvl w:val="0"/>
          <w:numId w:val="19"/>
        </w:numPr>
        <w:spacing w:before="120"/>
        <w:ind w:left="714" w:hanging="357"/>
        <w:contextualSpacing w:val="0"/>
        <w:rPr>
          <w:noProof/>
          <w:color w:val="auto"/>
        </w:rPr>
      </w:pPr>
      <w:r>
        <w:rPr>
          <w:color w:val="auto"/>
        </w:rPr>
        <w:t>La barrière est une barrière à l'information et à la communication. Elle est peut-être aussi d’ordre structurel. Vous pouvez offrir à Frank un espace plus tranquille. Vous pourriez également mettre l’information par écrit.</w:t>
      </w:r>
    </w:p>
    <w:p w:rsidR="00CE327C" w:rsidRPr="00CE327C" w:rsidRDefault="00CE327C" w:rsidP="00CE327C">
      <w:pPr>
        <w:pStyle w:val="ListParagraph"/>
        <w:numPr>
          <w:ilvl w:val="0"/>
          <w:numId w:val="19"/>
        </w:numPr>
        <w:spacing w:before="120"/>
        <w:contextualSpacing w:val="0"/>
        <w:rPr>
          <w:noProof/>
          <w:color w:val="auto"/>
        </w:rPr>
      </w:pPr>
      <w:r>
        <w:rPr>
          <w:color w:val="auto"/>
        </w:rPr>
        <w:t>La barrière est d’ordre structurel. En fonction de votre organisme, vous pouvez proposer de fournir le bien ou le service directement au client. Vous pouvez proposer de le rencontrer dans un endroit accessible. Il existe peut-être une autre entrée qui est accessible.</w:t>
      </w:r>
    </w:p>
    <w:p w:rsidR="00CE327C" w:rsidRPr="00CE327C" w:rsidRDefault="00CE327C" w:rsidP="00CE327C">
      <w:pPr>
        <w:pStyle w:val="ListParagraph"/>
        <w:numPr>
          <w:ilvl w:val="0"/>
          <w:numId w:val="19"/>
        </w:numPr>
        <w:spacing w:before="120"/>
        <w:contextualSpacing w:val="0"/>
        <w:rPr>
          <w:noProof/>
          <w:color w:val="auto"/>
        </w:rPr>
      </w:pPr>
      <w:r>
        <w:rPr>
          <w:color w:val="auto"/>
        </w:rPr>
        <w:t>Il s'agit peut-être d’une barrière technologique. Il s’agit peut-être aussi d’une barrière à l’information et à la communication. Vous pourriez lire le bon de réduction à votre client s’il ne peut y avoir accès, ou le proposer sous un autre format s’il veut qu’il soit imprimé, par exemple. Vous pourriez aussi accepter des copies imprimées.</w:t>
      </w:r>
    </w:p>
    <w:p w:rsidR="00CE327C" w:rsidRPr="00CE327C" w:rsidRDefault="00CE327C" w:rsidP="00CE327C">
      <w:pPr>
        <w:pStyle w:val="ListParagraph"/>
        <w:numPr>
          <w:ilvl w:val="0"/>
          <w:numId w:val="19"/>
        </w:numPr>
        <w:spacing w:before="120"/>
        <w:contextualSpacing w:val="0"/>
        <w:rPr>
          <w:noProof/>
          <w:color w:val="auto"/>
        </w:rPr>
      </w:pPr>
      <w:r>
        <w:rPr>
          <w:color w:val="auto"/>
        </w:rPr>
        <w:t xml:space="preserve">Vous pourriez rendre cette brochure plus accessible en augmentant la taille des caractères à au moins 12. Vous pourriez changer la couleur du texte et utiliser du noir ou augmenter le contraste. Vous pourriez changer le style de police et utiliser Arial ou un autre style plus lisible. Vous pourriez ajouter des symboles pour Facebook et Twitter. Pour accompagner l’illustration, vous pourriez ajouter un texte descriptif dans un format différent. Vous pourriez offrir de le lire à voix haute ou envoyer les renseignements en caractères ordinaires </w:t>
      </w:r>
      <w:r>
        <w:rPr>
          <w:color w:val="auto"/>
        </w:rPr>
        <w:lastRenderedPageBreak/>
        <w:t>à votre client. Vous devriez inclure l’avis suivant : Ce document est disponible en d'autres formats, sur demande.</w:t>
      </w:r>
    </w:p>
    <w:p w:rsidR="00CE327C" w:rsidRPr="00CE327C" w:rsidRDefault="00CE327C" w:rsidP="00CE327C">
      <w:pPr>
        <w:pStyle w:val="Heading1"/>
        <w:spacing w:before="480"/>
        <w:rPr>
          <w:b w:val="0"/>
          <w:noProof/>
          <w:color w:val="auto"/>
          <w:sz w:val="28"/>
          <w:szCs w:val="28"/>
        </w:rPr>
      </w:pPr>
      <w:r>
        <w:rPr>
          <w:color w:val="auto"/>
          <w:sz w:val="28"/>
          <w:szCs w:val="28"/>
        </w:rPr>
        <w:t>Pour d'autres renseignements, adressez-vous au :</w:t>
      </w:r>
    </w:p>
    <w:p w:rsidR="00CE327C" w:rsidRPr="00CE327C" w:rsidRDefault="00CE327C" w:rsidP="00CE327C">
      <w:pPr>
        <w:pStyle w:val="Heading1"/>
        <w:rPr>
          <w:b w:val="0"/>
          <w:noProof/>
          <w:color w:val="auto"/>
          <w:sz w:val="28"/>
          <w:szCs w:val="28"/>
        </w:rPr>
      </w:pPr>
      <w:r>
        <w:rPr>
          <w:color w:val="auto"/>
          <w:sz w:val="28"/>
          <w:szCs w:val="28"/>
        </w:rPr>
        <w:t>Bureau des personnes handicapées</w:t>
      </w:r>
    </w:p>
    <w:p w:rsidR="00CE327C" w:rsidRPr="00CE327C" w:rsidRDefault="00CE327C" w:rsidP="00CE327C">
      <w:pPr>
        <w:spacing w:after="12" w:line="267" w:lineRule="auto"/>
        <w:rPr>
          <w:rFonts w:cs="Arial"/>
          <w:noProof/>
          <w:color w:val="auto"/>
          <w:szCs w:val="28"/>
        </w:rPr>
      </w:pPr>
      <w:r>
        <w:rPr>
          <w:color w:val="auto"/>
          <w:szCs w:val="28"/>
        </w:rPr>
        <w:t>240, avenue Graham, bureau 630</w:t>
      </w:r>
    </w:p>
    <w:p w:rsidR="00CE327C" w:rsidRPr="00CE327C" w:rsidRDefault="00CE327C" w:rsidP="00CE327C">
      <w:pPr>
        <w:spacing w:after="12" w:line="267" w:lineRule="auto"/>
        <w:rPr>
          <w:rFonts w:cs="Arial"/>
          <w:noProof/>
          <w:color w:val="auto"/>
          <w:szCs w:val="28"/>
        </w:rPr>
      </w:pPr>
      <w:r>
        <w:rPr>
          <w:color w:val="auto"/>
          <w:szCs w:val="28"/>
        </w:rPr>
        <w:t>Winnipeg (</w:t>
      </w:r>
      <w:proofErr w:type="gramStart"/>
      <w:r>
        <w:rPr>
          <w:color w:val="auto"/>
          <w:szCs w:val="28"/>
        </w:rPr>
        <w:t>Manitoba)  R</w:t>
      </w:r>
      <w:proofErr w:type="gramEnd"/>
      <w:r>
        <w:rPr>
          <w:color w:val="auto"/>
          <w:szCs w:val="28"/>
        </w:rPr>
        <w:t>3C 0J7</w:t>
      </w:r>
    </w:p>
    <w:p w:rsidR="00CE327C" w:rsidRPr="00CE327C" w:rsidRDefault="00CE327C" w:rsidP="00CE327C">
      <w:pPr>
        <w:tabs>
          <w:tab w:val="left" w:pos="2977"/>
        </w:tabs>
        <w:spacing w:after="12" w:line="267" w:lineRule="auto"/>
        <w:ind w:right="4"/>
        <w:rPr>
          <w:rFonts w:cs="Arial"/>
          <w:noProof/>
          <w:color w:val="auto"/>
          <w:szCs w:val="28"/>
        </w:rPr>
      </w:pPr>
      <w:r>
        <w:rPr>
          <w:color w:val="auto"/>
          <w:szCs w:val="28"/>
        </w:rPr>
        <w:t>Tél. : 204 945-7613 (à Winnipeg)</w:t>
      </w:r>
    </w:p>
    <w:p w:rsidR="00CE327C" w:rsidRPr="00CE327C" w:rsidRDefault="00CE327C" w:rsidP="00CE327C">
      <w:pPr>
        <w:tabs>
          <w:tab w:val="left" w:pos="2977"/>
        </w:tabs>
        <w:spacing w:after="12" w:line="267" w:lineRule="auto"/>
        <w:ind w:right="4"/>
        <w:rPr>
          <w:rFonts w:cs="Arial"/>
          <w:noProof/>
          <w:color w:val="auto"/>
          <w:szCs w:val="28"/>
        </w:rPr>
      </w:pPr>
      <w:r>
        <w:rPr>
          <w:color w:val="auto"/>
          <w:szCs w:val="28"/>
        </w:rPr>
        <w:t>Sans frais : 1 800 282-8069, poste 7613 (à l'extérieur de Winnipeg)</w:t>
      </w:r>
    </w:p>
    <w:p w:rsidR="00CE327C" w:rsidRPr="00CE327C" w:rsidRDefault="00CE327C" w:rsidP="00CE327C">
      <w:pPr>
        <w:spacing w:after="12" w:line="267" w:lineRule="auto"/>
        <w:ind w:right="6347"/>
        <w:rPr>
          <w:rFonts w:cs="Arial"/>
          <w:noProof/>
          <w:color w:val="auto"/>
          <w:szCs w:val="28"/>
        </w:rPr>
      </w:pPr>
      <w:r>
        <w:rPr>
          <w:color w:val="auto"/>
          <w:szCs w:val="28"/>
        </w:rPr>
        <w:t>Téléc. : 204 948-2896</w:t>
      </w:r>
    </w:p>
    <w:p w:rsidR="00CE327C" w:rsidRPr="00CE327C" w:rsidRDefault="00CE327C" w:rsidP="00CE327C">
      <w:pPr>
        <w:spacing w:after="12" w:line="267" w:lineRule="auto"/>
        <w:ind w:right="6347"/>
        <w:rPr>
          <w:rFonts w:cs="Arial"/>
          <w:noProof/>
          <w:color w:val="auto"/>
          <w:szCs w:val="28"/>
        </w:rPr>
      </w:pPr>
      <w:r>
        <w:rPr>
          <w:color w:val="auto"/>
          <w:szCs w:val="28"/>
        </w:rPr>
        <w:t xml:space="preserve">Courriel : </w:t>
      </w:r>
      <w:r>
        <w:rPr>
          <w:color w:val="auto"/>
          <w:szCs w:val="28"/>
          <w:u w:val="single"/>
        </w:rPr>
        <w:t>dio@gov.mb.ca</w:t>
      </w:r>
    </w:p>
    <w:p w:rsidR="00CE327C" w:rsidRPr="00CE327C" w:rsidRDefault="00CE327C" w:rsidP="00CE327C">
      <w:pPr>
        <w:spacing w:before="480" w:after="12" w:line="266" w:lineRule="auto"/>
        <w:ind w:right="-57"/>
        <w:rPr>
          <w:rFonts w:cs="Arial"/>
          <w:noProof/>
          <w:color w:val="auto"/>
          <w:szCs w:val="28"/>
        </w:rPr>
      </w:pPr>
      <w:r>
        <w:rPr>
          <w:b/>
          <w:color w:val="auto"/>
          <w:szCs w:val="28"/>
        </w:rPr>
        <w:t>Visitez</w:t>
      </w:r>
      <w:r>
        <w:rPr>
          <w:color w:val="auto"/>
          <w:szCs w:val="28"/>
        </w:rPr>
        <w:t xml:space="preserve"> </w:t>
      </w:r>
      <w:hyperlink r:id="rId20" w:tgtFrame="_blank" w:history="1">
        <w:r w:rsidR="0019168E">
          <w:rPr>
            <w:rStyle w:val="Hyperlink"/>
            <w:color w:val="auto"/>
            <w:sz w:val="28"/>
            <w:szCs w:val="28"/>
          </w:rPr>
          <w:t>Accessibilit</w:t>
        </w:r>
        <w:r w:rsidR="0019168E">
          <w:rPr>
            <w:rStyle w:val="Hyperlink"/>
            <w:color w:val="auto"/>
            <w:sz w:val="28"/>
            <w:szCs w:val="28"/>
          </w:rPr>
          <w:t>e</w:t>
        </w:r>
        <w:r w:rsidR="0019168E">
          <w:rPr>
            <w:rStyle w:val="Hyperlink"/>
            <w:color w:val="auto"/>
            <w:sz w:val="28"/>
            <w:szCs w:val="28"/>
          </w:rPr>
          <w:t>MB.ca</w:t>
        </w:r>
      </w:hyperlink>
      <w:r>
        <w:rPr>
          <w:color w:val="auto"/>
          <w:szCs w:val="28"/>
        </w:rPr>
        <w:t xml:space="preserve"> </w:t>
      </w:r>
      <w:r>
        <w:rPr>
          <w:b/>
          <w:color w:val="auto"/>
          <w:szCs w:val="28"/>
        </w:rPr>
        <w:t>pour en savoir plus</w:t>
      </w:r>
      <w:r w:rsidR="0019168E">
        <w:rPr>
          <w:b/>
          <w:color w:val="auto"/>
          <w:szCs w:val="28"/>
        </w:rPr>
        <w:t>.</w:t>
      </w:r>
    </w:p>
    <w:p w:rsidR="00CE327C" w:rsidRPr="0019168E" w:rsidRDefault="00CE327C" w:rsidP="00CE327C">
      <w:pPr>
        <w:ind w:right="-55"/>
        <w:rPr>
          <w:rFonts w:cs="Arial"/>
          <w:noProof/>
          <w:color w:val="auto"/>
          <w:szCs w:val="28"/>
        </w:rPr>
      </w:pPr>
      <w:r>
        <w:rPr>
          <w:b/>
        </w:rPr>
        <w:t xml:space="preserve">Abonnez-vous à notre bulletin d'information, </w:t>
      </w:r>
      <w:hyperlink r:id="rId21">
        <w:r>
          <w:rPr>
            <w:rStyle w:val="Hyperlink"/>
            <w:color w:val="auto"/>
            <w:sz w:val="28"/>
            <w:szCs w:val="28"/>
          </w:rPr>
          <w:t>Accessibility News</w:t>
        </w:r>
      </w:hyperlink>
      <w:r w:rsidR="0019168E">
        <w:t xml:space="preserve"> </w:t>
      </w:r>
      <w:r w:rsidR="0019168E" w:rsidRPr="0019168E">
        <w:rPr>
          <w:rStyle w:val="Hyperlink"/>
          <w:color w:val="auto"/>
          <w:sz w:val="28"/>
          <w:szCs w:val="28"/>
          <w:u w:val="none"/>
        </w:rPr>
        <w:t>(en anglais seulement)</w:t>
      </w:r>
      <w:r w:rsidR="0019168E">
        <w:rPr>
          <w:rStyle w:val="Hyperlink"/>
          <w:color w:val="auto"/>
          <w:sz w:val="28"/>
          <w:szCs w:val="28"/>
          <w:u w:val="none"/>
        </w:rPr>
        <w:t>.</w:t>
      </w:r>
    </w:p>
    <w:p w:rsidR="00CE327C" w:rsidRPr="00CE327C" w:rsidRDefault="00CE327C" w:rsidP="00CE327C">
      <w:pPr>
        <w:spacing w:after="21" w:line="259" w:lineRule="auto"/>
        <w:rPr>
          <w:rFonts w:cs="Arial"/>
          <w:b/>
          <w:noProof/>
          <w:color w:val="auto"/>
          <w:szCs w:val="28"/>
        </w:rPr>
      </w:pPr>
      <w:r>
        <w:rPr>
          <w:b/>
          <w:color w:val="auto"/>
          <w:szCs w:val="28"/>
        </w:rPr>
        <w:t>Joignez-vous à la conversation #</w:t>
      </w:r>
      <w:proofErr w:type="spellStart"/>
      <w:r>
        <w:rPr>
          <w:b/>
          <w:color w:val="auto"/>
          <w:szCs w:val="28"/>
        </w:rPr>
        <w:t>AccessibleMB</w:t>
      </w:r>
      <w:proofErr w:type="spellEnd"/>
      <w:r>
        <w:rPr>
          <w:b/>
          <w:color w:val="auto"/>
          <w:szCs w:val="28"/>
        </w:rPr>
        <w:t xml:space="preserve"> sur Twitter et Facebook.</w:t>
      </w:r>
    </w:p>
    <w:sectPr w:rsidR="00CE327C" w:rsidRPr="00CE327C" w:rsidSect="00E25703">
      <w:footerReference w:type="even" r:id="rId22"/>
      <w:footerReference w:type="default" r:id="rId23"/>
      <w:footerReference w:type="first" r:id="rId24"/>
      <w:pgSz w:w="12240" w:h="15840"/>
      <w:pgMar w:top="567" w:right="851" w:bottom="567" w:left="856"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0D" w:rsidRPr="00CE327C" w:rsidRDefault="001F4A0D">
      <w:pPr>
        <w:rPr>
          <w:noProof/>
          <w:lang w:val="en-CA"/>
        </w:rPr>
      </w:pPr>
      <w:r w:rsidRPr="00CE327C">
        <w:rPr>
          <w:noProof/>
          <w:lang w:val="en-CA"/>
        </w:rPr>
        <w:separator/>
      </w:r>
    </w:p>
  </w:endnote>
  <w:endnote w:type="continuationSeparator" w:id="0">
    <w:p w:rsidR="001F4A0D" w:rsidRPr="00CE327C" w:rsidRDefault="001F4A0D">
      <w:pPr>
        <w:rPr>
          <w:noProof/>
          <w:lang w:val="en-CA"/>
        </w:rPr>
      </w:pPr>
      <w:r w:rsidRPr="00CE327C">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F8" w:rsidRPr="00CE327C" w:rsidRDefault="003C0CF8">
    <w:pPr>
      <w:spacing w:line="259" w:lineRule="auto"/>
      <w:ind w:right="-6"/>
      <w:jc w:val="right"/>
      <w:rPr>
        <w:noProof/>
      </w:rPr>
    </w:pPr>
    <w:r w:rsidRPr="00CE327C">
      <w:fldChar w:fldCharType="begin"/>
    </w:r>
    <w:r w:rsidRPr="00CE327C">
      <w:instrText xml:space="preserve"> PAGE   \* MERGEFORMAT </w:instrText>
    </w:r>
    <w:r w:rsidRPr="00CE327C">
      <w:fldChar w:fldCharType="separate"/>
    </w:r>
    <w:r w:rsidRPr="00CE327C">
      <w:rPr>
        <w:noProof/>
        <w:sz w:val="22"/>
      </w:rPr>
      <w:t>2</w:t>
    </w:r>
    <w:r w:rsidRPr="00CE327C">
      <w:rPr>
        <w:sz w:val="22"/>
      </w:rPr>
      <w:fldChar w:fldCharType="end"/>
    </w:r>
    <w:r>
      <w:rPr>
        <w:sz w:val="22"/>
      </w:rPr>
      <w:t xml:space="preserve"> </w:t>
    </w:r>
  </w:p>
  <w:p w:rsidR="003C0CF8" w:rsidRPr="00CE327C" w:rsidRDefault="003C0CF8">
    <w:pPr>
      <w:spacing w:line="259" w:lineRule="auto"/>
      <w:ind w:left="653"/>
      <w:rPr>
        <w:noProof/>
        <w:sz w:val="22"/>
      </w:rPr>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noProof/>
        <w:sz w:val="16"/>
      </w:rPr>
      <w:id w:val="727958566"/>
      <w:docPartObj>
        <w:docPartGallery w:val="Page Numbers (Bottom of Page)"/>
        <w:docPartUnique/>
      </w:docPartObj>
    </w:sdtPr>
    <w:sdtEndPr/>
    <w:sdtContent>
      <w:sdt>
        <w:sdtPr>
          <w:rPr>
            <w:rFonts w:ascii="Times New Roman" w:hAnsi="Times New Roman"/>
            <w:noProof/>
            <w:sz w:val="16"/>
          </w:rPr>
          <w:id w:val="-1151365517"/>
          <w:docPartObj>
            <w:docPartGallery w:val="Page Numbers (Top of Page)"/>
            <w:docPartUnique/>
          </w:docPartObj>
        </w:sdtPr>
        <w:sdtEndPr/>
        <w:sdtContent>
          <w:p w:rsidR="001D395E" w:rsidRDefault="001778D2">
            <w:pPr>
              <w:pStyle w:val="Footer"/>
              <w:jc w:val="right"/>
              <w:rPr>
                <w:rFonts w:asciiTheme="minorHAnsi" w:hAnsiTheme="minorHAnsi" w:cstheme="minorHAnsi"/>
                <w:noProof/>
                <w:sz w:val="20"/>
              </w:rPr>
            </w:pPr>
            <w:r>
              <w:rPr>
                <w:rFonts w:asciiTheme="minorHAnsi" w:hAnsiTheme="minorHAnsi"/>
                <w:sz w:val="20"/>
              </w:rPr>
              <w:t xml:space="preserve">Page </w:t>
            </w:r>
            <w:r w:rsidR="00CC3E53" w:rsidRPr="00CE327C">
              <w:rPr>
                <w:rFonts w:asciiTheme="minorHAnsi" w:hAnsiTheme="minorHAnsi" w:cstheme="minorHAnsi"/>
                <w:b/>
                <w:bCs/>
                <w:sz w:val="20"/>
              </w:rPr>
              <w:fldChar w:fldCharType="begin"/>
            </w:r>
            <w:r w:rsidR="00CC3E53" w:rsidRPr="00CE327C">
              <w:rPr>
                <w:rFonts w:asciiTheme="minorHAnsi" w:hAnsiTheme="minorHAnsi" w:cstheme="minorHAnsi"/>
                <w:b/>
                <w:bCs/>
                <w:sz w:val="20"/>
              </w:rPr>
              <w:instrText xml:space="preserve"> PAGE </w:instrText>
            </w:r>
            <w:r w:rsidR="00CC3E53" w:rsidRPr="00CE327C">
              <w:rPr>
                <w:rFonts w:asciiTheme="minorHAnsi" w:hAnsiTheme="minorHAnsi" w:cstheme="minorHAnsi"/>
                <w:b/>
                <w:bCs/>
                <w:sz w:val="20"/>
              </w:rPr>
              <w:fldChar w:fldCharType="separate"/>
            </w:r>
            <w:r w:rsidR="0019168E">
              <w:rPr>
                <w:rFonts w:asciiTheme="minorHAnsi" w:hAnsiTheme="minorHAnsi" w:cstheme="minorHAnsi"/>
                <w:b/>
                <w:bCs/>
                <w:noProof/>
                <w:sz w:val="20"/>
              </w:rPr>
              <w:t>10</w:t>
            </w:r>
            <w:r w:rsidR="00CC3E53" w:rsidRPr="00CE327C">
              <w:rPr>
                <w:rFonts w:asciiTheme="minorHAnsi" w:hAnsiTheme="minorHAnsi" w:cstheme="minorHAnsi"/>
                <w:b/>
                <w:bCs/>
                <w:sz w:val="20"/>
              </w:rPr>
              <w:fldChar w:fldCharType="end"/>
            </w:r>
            <w:r>
              <w:rPr>
                <w:rFonts w:asciiTheme="minorHAnsi" w:hAnsiTheme="minorHAnsi"/>
                <w:sz w:val="20"/>
              </w:rPr>
              <w:t xml:space="preserve"> sur </w:t>
            </w:r>
            <w:r w:rsidR="00CC3E53" w:rsidRPr="00CE327C">
              <w:rPr>
                <w:rFonts w:asciiTheme="minorHAnsi" w:hAnsiTheme="minorHAnsi" w:cstheme="minorHAnsi"/>
                <w:b/>
                <w:bCs/>
                <w:sz w:val="20"/>
              </w:rPr>
              <w:fldChar w:fldCharType="begin"/>
            </w:r>
            <w:r w:rsidR="00CC3E53" w:rsidRPr="00CE327C">
              <w:rPr>
                <w:rFonts w:asciiTheme="minorHAnsi" w:hAnsiTheme="minorHAnsi" w:cstheme="minorHAnsi"/>
                <w:b/>
                <w:bCs/>
                <w:sz w:val="20"/>
              </w:rPr>
              <w:instrText xml:space="preserve"> NUMPAGES  </w:instrText>
            </w:r>
            <w:r w:rsidR="00CC3E53" w:rsidRPr="00CE327C">
              <w:rPr>
                <w:rFonts w:asciiTheme="minorHAnsi" w:hAnsiTheme="minorHAnsi" w:cstheme="minorHAnsi"/>
                <w:b/>
                <w:bCs/>
                <w:sz w:val="20"/>
              </w:rPr>
              <w:fldChar w:fldCharType="separate"/>
            </w:r>
            <w:r w:rsidR="0019168E">
              <w:rPr>
                <w:rFonts w:asciiTheme="minorHAnsi" w:hAnsiTheme="minorHAnsi" w:cstheme="minorHAnsi"/>
                <w:b/>
                <w:bCs/>
                <w:noProof/>
                <w:sz w:val="20"/>
              </w:rPr>
              <w:t>12</w:t>
            </w:r>
            <w:r w:rsidR="00CC3E53" w:rsidRPr="00CE327C">
              <w:rPr>
                <w:rFonts w:asciiTheme="minorHAnsi" w:hAnsiTheme="minorHAnsi" w:cstheme="minorHAnsi"/>
                <w:b/>
                <w:bCs/>
                <w:sz w:val="20"/>
              </w:rPr>
              <w:fldChar w:fldCharType="end"/>
            </w:r>
          </w:p>
          <w:p w:rsidR="00CC3E53" w:rsidRPr="00534500" w:rsidRDefault="00534500" w:rsidP="00534500">
            <w:pPr>
              <w:pStyle w:val="Footer"/>
              <w:jc w:val="right"/>
              <w:rPr>
                <w:rFonts w:asciiTheme="minorHAnsi" w:hAnsiTheme="minorHAnsi" w:cstheme="minorHAnsi"/>
                <w:noProof/>
                <w:sz w:val="20"/>
              </w:rPr>
            </w:pPr>
            <w:r>
              <w:rPr>
                <w:rFonts w:asciiTheme="minorHAnsi" w:hAnsiTheme="minorHAnsi"/>
                <w:sz w:val="20"/>
              </w:rPr>
              <w:t>Octobre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noProof/>
        <w:szCs w:val="22"/>
      </w:rPr>
      <w:id w:val="-1060933245"/>
      <w:docPartObj>
        <w:docPartGallery w:val="Page Numbers (Bottom of Page)"/>
        <w:docPartUnique/>
      </w:docPartObj>
    </w:sdtPr>
    <w:sdtEndPr>
      <w:rPr>
        <w:rFonts w:ascii="Times New Roman" w:hAnsi="Times New Roman" w:cs="Times New Roman"/>
        <w:sz w:val="16"/>
        <w:szCs w:val="24"/>
      </w:rPr>
    </w:sdtEndPr>
    <w:sdtContent>
      <w:sdt>
        <w:sdtPr>
          <w:rPr>
            <w:rFonts w:asciiTheme="minorHAnsi" w:hAnsiTheme="minorHAnsi" w:cstheme="minorHAnsi"/>
            <w:noProof/>
            <w:szCs w:val="22"/>
          </w:rPr>
          <w:id w:val="-1769616900"/>
          <w:docPartObj>
            <w:docPartGallery w:val="Page Numbers (Top of Page)"/>
            <w:docPartUnique/>
          </w:docPartObj>
        </w:sdtPr>
        <w:sdtEndPr>
          <w:rPr>
            <w:rFonts w:ascii="Times New Roman" w:hAnsi="Times New Roman" w:cs="Times New Roman"/>
            <w:sz w:val="16"/>
            <w:szCs w:val="24"/>
          </w:rPr>
        </w:sdtEndPr>
        <w:sdtContent>
          <w:p w:rsidR="001D395E" w:rsidRDefault="001778D2">
            <w:pPr>
              <w:pStyle w:val="Footer"/>
              <w:rPr>
                <w:rFonts w:asciiTheme="minorHAnsi" w:hAnsiTheme="minorHAnsi" w:cstheme="minorHAnsi"/>
                <w:noProof/>
                <w:szCs w:val="22"/>
              </w:rPr>
            </w:pPr>
            <w:r>
              <w:rPr>
                <w:rFonts w:asciiTheme="minorHAnsi" w:hAnsiTheme="minorHAnsi"/>
                <w:szCs w:val="22"/>
              </w:rPr>
              <w:t>Bureau des personnes handicapées</w:t>
            </w:r>
          </w:p>
          <w:p w:rsidR="003C0CF8" w:rsidRPr="00CE327C" w:rsidRDefault="00CC3E53" w:rsidP="00534500">
            <w:pPr>
              <w:pStyle w:val="Footer"/>
              <w:jc w:val="right"/>
              <w:rPr>
                <w:rFonts w:ascii="Times New Roman" w:hAnsi="Times New Roman"/>
                <w:noProof/>
                <w:sz w:val="16"/>
              </w:rPr>
            </w:pPr>
            <w:r>
              <w:rPr>
                <w:rFonts w:asciiTheme="minorHAnsi" w:hAnsiTheme="minorHAnsi"/>
                <w:szCs w:val="22"/>
              </w:rPr>
              <w:t xml:space="preserve">Page </w:t>
            </w:r>
            <w:r w:rsidRPr="00CE327C">
              <w:rPr>
                <w:rFonts w:asciiTheme="minorHAnsi" w:hAnsiTheme="minorHAnsi" w:cstheme="minorHAnsi"/>
                <w:b/>
                <w:bCs/>
                <w:szCs w:val="22"/>
              </w:rPr>
              <w:fldChar w:fldCharType="begin"/>
            </w:r>
            <w:r w:rsidRPr="00CE327C">
              <w:rPr>
                <w:rFonts w:asciiTheme="minorHAnsi" w:hAnsiTheme="minorHAnsi" w:cstheme="minorHAnsi"/>
                <w:b/>
                <w:bCs/>
                <w:szCs w:val="22"/>
              </w:rPr>
              <w:instrText xml:space="preserve"> PAGE </w:instrText>
            </w:r>
            <w:r w:rsidRPr="00CE327C">
              <w:rPr>
                <w:rFonts w:asciiTheme="minorHAnsi" w:hAnsiTheme="minorHAnsi" w:cstheme="minorHAnsi"/>
                <w:b/>
                <w:bCs/>
                <w:szCs w:val="22"/>
              </w:rPr>
              <w:fldChar w:fldCharType="separate"/>
            </w:r>
            <w:r w:rsidR="0019168E">
              <w:rPr>
                <w:rFonts w:asciiTheme="minorHAnsi" w:hAnsiTheme="minorHAnsi" w:cstheme="minorHAnsi"/>
                <w:b/>
                <w:bCs/>
                <w:noProof/>
                <w:szCs w:val="22"/>
              </w:rPr>
              <w:t>1</w:t>
            </w:r>
            <w:r w:rsidRPr="00CE327C">
              <w:rPr>
                <w:rFonts w:asciiTheme="minorHAnsi" w:hAnsiTheme="minorHAnsi" w:cstheme="minorHAnsi"/>
                <w:b/>
                <w:bCs/>
                <w:szCs w:val="22"/>
              </w:rPr>
              <w:fldChar w:fldCharType="end"/>
            </w:r>
            <w:r>
              <w:rPr>
                <w:rFonts w:asciiTheme="minorHAnsi" w:hAnsiTheme="minorHAnsi"/>
                <w:szCs w:val="22"/>
              </w:rPr>
              <w:t xml:space="preserve"> sur </w:t>
            </w:r>
            <w:r w:rsidRPr="00CE327C">
              <w:rPr>
                <w:rFonts w:asciiTheme="minorHAnsi" w:hAnsiTheme="minorHAnsi" w:cstheme="minorHAnsi"/>
                <w:b/>
                <w:bCs/>
                <w:szCs w:val="22"/>
              </w:rPr>
              <w:fldChar w:fldCharType="begin"/>
            </w:r>
            <w:r w:rsidRPr="00CE327C">
              <w:rPr>
                <w:rFonts w:asciiTheme="minorHAnsi" w:hAnsiTheme="minorHAnsi" w:cstheme="minorHAnsi"/>
                <w:b/>
                <w:bCs/>
                <w:szCs w:val="22"/>
              </w:rPr>
              <w:instrText xml:space="preserve"> NUMPAGES  </w:instrText>
            </w:r>
            <w:r w:rsidRPr="00CE327C">
              <w:rPr>
                <w:rFonts w:asciiTheme="minorHAnsi" w:hAnsiTheme="minorHAnsi" w:cstheme="minorHAnsi"/>
                <w:b/>
                <w:bCs/>
                <w:szCs w:val="22"/>
              </w:rPr>
              <w:fldChar w:fldCharType="separate"/>
            </w:r>
            <w:r w:rsidR="0019168E">
              <w:rPr>
                <w:rFonts w:asciiTheme="minorHAnsi" w:hAnsiTheme="minorHAnsi" w:cstheme="minorHAnsi"/>
                <w:b/>
                <w:bCs/>
                <w:noProof/>
                <w:szCs w:val="22"/>
              </w:rPr>
              <w:t>12</w:t>
            </w:r>
            <w:r w:rsidRPr="00CE327C">
              <w:rPr>
                <w:rFonts w:asciiTheme="minorHAnsi" w:hAnsiTheme="minorHAnsi" w:cstheme="minorHAnsi"/>
                <w:b/>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0D" w:rsidRPr="00CE327C" w:rsidRDefault="001F4A0D">
      <w:pPr>
        <w:rPr>
          <w:noProof/>
          <w:lang w:val="en-CA"/>
        </w:rPr>
      </w:pPr>
      <w:r w:rsidRPr="00CE327C">
        <w:rPr>
          <w:noProof/>
          <w:lang w:val="en-CA"/>
        </w:rPr>
        <w:separator/>
      </w:r>
    </w:p>
  </w:footnote>
  <w:footnote w:type="continuationSeparator" w:id="0">
    <w:p w:rsidR="001F4A0D" w:rsidRPr="00CE327C" w:rsidRDefault="001F4A0D">
      <w:pPr>
        <w:rPr>
          <w:noProof/>
          <w:lang w:val="en-CA"/>
        </w:rPr>
      </w:pPr>
      <w:r w:rsidRPr="00CE327C">
        <w:rPr>
          <w:noProof/>
          <w:lang w:val="en-C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3B1"/>
    <w:multiLevelType w:val="hybridMultilevel"/>
    <w:tmpl w:val="82AECA0C"/>
    <w:lvl w:ilvl="0" w:tplc="08D8AC9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EF3866"/>
    <w:multiLevelType w:val="hybridMultilevel"/>
    <w:tmpl w:val="0C3A77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65EFE"/>
    <w:multiLevelType w:val="hybridMultilevel"/>
    <w:tmpl w:val="CF9E9918"/>
    <w:lvl w:ilvl="0" w:tplc="EC28516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67FAD"/>
    <w:multiLevelType w:val="hybridMultilevel"/>
    <w:tmpl w:val="AC12D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7A4519"/>
    <w:multiLevelType w:val="hybridMultilevel"/>
    <w:tmpl w:val="220C923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873D26"/>
    <w:multiLevelType w:val="hybridMultilevel"/>
    <w:tmpl w:val="E1A0477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93C02"/>
    <w:multiLevelType w:val="hybridMultilevel"/>
    <w:tmpl w:val="BE4854BE"/>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6D24CB"/>
    <w:multiLevelType w:val="hybridMultilevel"/>
    <w:tmpl w:val="7F0C4E88"/>
    <w:lvl w:ilvl="0" w:tplc="08D8AC92">
      <w:start w:val="6"/>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401F2894"/>
    <w:multiLevelType w:val="hybridMultilevel"/>
    <w:tmpl w:val="2D9E63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204ECF"/>
    <w:multiLevelType w:val="hybridMultilevel"/>
    <w:tmpl w:val="39526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E50E0"/>
    <w:multiLevelType w:val="hybridMultilevel"/>
    <w:tmpl w:val="46524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D195EB6"/>
    <w:multiLevelType w:val="hybridMultilevel"/>
    <w:tmpl w:val="D5AA65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121BD"/>
    <w:multiLevelType w:val="hybridMultilevel"/>
    <w:tmpl w:val="779C40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A10CB3"/>
    <w:multiLevelType w:val="hybridMultilevel"/>
    <w:tmpl w:val="C79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872FF"/>
    <w:multiLevelType w:val="hybridMultilevel"/>
    <w:tmpl w:val="DE70232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DE00561"/>
    <w:multiLevelType w:val="hybridMultilevel"/>
    <w:tmpl w:val="302A1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7B78B2"/>
    <w:multiLevelType w:val="hybridMultilevel"/>
    <w:tmpl w:val="2F8801CA"/>
    <w:lvl w:ilvl="0" w:tplc="E892B7F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33F7D"/>
    <w:multiLevelType w:val="hybridMultilevel"/>
    <w:tmpl w:val="E4C6FD62"/>
    <w:lvl w:ilvl="0" w:tplc="10090017">
      <w:start w:val="1"/>
      <w:numFmt w:val="lowerLetter"/>
      <w:lvlText w:val="%1)"/>
      <w:lvlJc w:val="left"/>
      <w:pPr>
        <w:ind w:left="732" w:hanging="360"/>
      </w:pPr>
      <w:rPr>
        <w:rFonts w:hint="default"/>
      </w:rPr>
    </w:lvl>
    <w:lvl w:ilvl="1" w:tplc="10090003" w:tentative="1">
      <w:start w:val="1"/>
      <w:numFmt w:val="bullet"/>
      <w:lvlText w:val="o"/>
      <w:lvlJc w:val="left"/>
      <w:pPr>
        <w:ind w:left="1452" w:hanging="360"/>
      </w:pPr>
      <w:rPr>
        <w:rFonts w:ascii="Courier New" w:hAnsi="Courier New" w:cs="Courier New" w:hint="default"/>
      </w:rPr>
    </w:lvl>
    <w:lvl w:ilvl="2" w:tplc="10090005" w:tentative="1">
      <w:start w:val="1"/>
      <w:numFmt w:val="bullet"/>
      <w:lvlText w:val=""/>
      <w:lvlJc w:val="left"/>
      <w:pPr>
        <w:ind w:left="2172" w:hanging="360"/>
      </w:pPr>
      <w:rPr>
        <w:rFonts w:ascii="Wingdings" w:hAnsi="Wingdings" w:hint="default"/>
      </w:rPr>
    </w:lvl>
    <w:lvl w:ilvl="3" w:tplc="10090001" w:tentative="1">
      <w:start w:val="1"/>
      <w:numFmt w:val="bullet"/>
      <w:lvlText w:val=""/>
      <w:lvlJc w:val="left"/>
      <w:pPr>
        <w:ind w:left="2892" w:hanging="360"/>
      </w:pPr>
      <w:rPr>
        <w:rFonts w:ascii="Symbol" w:hAnsi="Symbol" w:hint="default"/>
      </w:rPr>
    </w:lvl>
    <w:lvl w:ilvl="4" w:tplc="10090003" w:tentative="1">
      <w:start w:val="1"/>
      <w:numFmt w:val="bullet"/>
      <w:lvlText w:val="o"/>
      <w:lvlJc w:val="left"/>
      <w:pPr>
        <w:ind w:left="3612" w:hanging="360"/>
      </w:pPr>
      <w:rPr>
        <w:rFonts w:ascii="Courier New" w:hAnsi="Courier New" w:cs="Courier New" w:hint="default"/>
      </w:rPr>
    </w:lvl>
    <w:lvl w:ilvl="5" w:tplc="10090005" w:tentative="1">
      <w:start w:val="1"/>
      <w:numFmt w:val="bullet"/>
      <w:lvlText w:val=""/>
      <w:lvlJc w:val="left"/>
      <w:pPr>
        <w:ind w:left="4332" w:hanging="360"/>
      </w:pPr>
      <w:rPr>
        <w:rFonts w:ascii="Wingdings" w:hAnsi="Wingdings" w:hint="default"/>
      </w:rPr>
    </w:lvl>
    <w:lvl w:ilvl="6" w:tplc="10090001" w:tentative="1">
      <w:start w:val="1"/>
      <w:numFmt w:val="bullet"/>
      <w:lvlText w:val=""/>
      <w:lvlJc w:val="left"/>
      <w:pPr>
        <w:ind w:left="5052" w:hanging="360"/>
      </w:pPr>
      <w:rPr>
        <w:rFonts w:ascii="Symbol" w:hAnsi="Symbol" w:hint="default"/>
      </w:rPr>
    </w:lvl>
    <w:lvl w:ilvl="7" w:tplc="10090003" w:tentative="1">
      <w:start w:val="1"/>
      <w:numFmt w:val="bullet"/>
      <w:lvlText w:val="o"/>
      <w:lvlJc w:val="left"/>
      <w:pPr>
        <w:ind w:left="5772" w:hanging="360"/>
      </w:pPr>
      <w:rPr>
        <w:rFonts w:ascii="Courier New" w:hAnsi="Courier New" w:cs="Courier New" w:hint="default"/>
      </w:rPr>
    </w:lvl>
    <w:lvl w:ilvl="8" w:tplc="10090005" w:tentative="1">
      <w:start w:val="1"/>
      <w:numFmt w:val="bullet"/>
      <w:lvlText w:val=""/>
      <w:lvlJc w:val="left"/>
      <w:pPr>
        <w:ind w:left="6492" w:hanging="360"/>
      </w:pPr>
      <w:rPr>
        <w:rFonts w:ascii="Wingdings" w:hAnsi="Wingdings" w:hint="default"/>
      </w:rPr>
    </w:lvl>
  </w:abstractNum>
  <w:abstractNum w:abstractNumId="19" w15:restartNumberingAfterBreak="0">
    <w:nsid w:val="757C6680"/>
    <w:multiLevelType w:val="hybridMultilevel"/>
    <w:tmpl w:val="F0B276E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61354F"/>
    <w:multiLevelType w:val="hybridMultilevel"/>
    <w:tmpl w:val="0C3A77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7"/>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5"/>
  </w:num>
  <w:num w:numId="7">
    <w:abstractNumId w:val="10"/>
  </w:num>
  <w:num w:numId="8">
    <w:abstractNumId w:val="2"/>
  </w:num>
  <w:num w:numId="9">
    <w:abstractNumId w:val="1"/>
  </w:num>
  <w:num w:numId="10">
    <w:abstractNumId w:val="12"/>
  </w:num>
  <w:num w:numId="11">
    <w:abstractNumId w:val="0"/>
  </w:num>
  <w:num w:numId="12">
    <w:abstractNumId w:val="7"/>
  </w:num>
  <w:num w:numId="13">
    <w:abstractNumId w:val="13"/>
  </w:num>
  <w:num w:numId="14">
    <w:abstractNumId w:val="18"/>
  </w:num>
  <w:num w:numId="15">
    <w:abstractNumId w:val="5"/>
  </w:num>
  <w:num w:numId="16">
    <w:abstractNumId w:val="16"/>
  </w:num>
  <w:num w:numId="17">
    <w:abstractNumId w:val="6"/>
  </w:num>
  <w:num w:numId="18">
    <w:abstractNumId w:val="8"/>
  </w:num>
  <w:num w:numId="19">
    <w:abstractNumId w:val="3"/>
  </w:num>
  <w:num w:numId="20">
    <w:abstractNumId w:val="4"/>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343A5"/>
    <w:rsid w:val="000454B6"/>
    <w:rsid w:val="0004773A"/>
    <w:rsid w:val="0005359D"/>
    <w:rsid w:val="000552A2"/>
    <w:rsid w:val="00066030"/>
    <w:rsid w:val="00070C97"/>
    <w:rsid w:val="000767A3"/>
    <w:rsid w:val="00077C01"/>
    <w:rsid w:val="00083729"/>
    <w:rsid w:val="0009659B"/>
    <w:rsid w:val="0009756F"/>
    <w:rsid w:val="000A6BD3"/>
    <w:rsid w:val="000B007B"/>
    <w:rsid w:val="000C30F8"/>
    <w:rsid w:val="000D7CB5"/>
    <w:rsid w:val="000E139A"/>
    <w:rsid w:val="000F032E"/>
    <w:rsid w:val="000F7B6F"/>
    <w:rsid w:val="00101BBD"/>
    <w:rsid w:val="0011033E"/>
    <w:rsid w:val="00130669"/>
    <w:rsid w:val="00134746"/>
    <w:rsid w:val="0014358A"/>
    <w:rsid w:val="001459CB"/>
    <w:rsid w:val="00153FAB"/>
    <w:rsid w:val="00162F0A"/>
    <w:rsid w:val="001709EB"/>
    <w:rsid w:val="00173C6A"/>
    <w:rsid w:val="00173D9D"/>
    <w:rsid w:val="001778D2"/>
    <w:rsid w:val="00183F23"/>
    <w:rsid w:val="0019168E"/>
    <w:rsid w:val="00194DCD"/>
    <w:rsid w:val="001956AE"/>
    <w:rsid w:val="00197EBB"/>
    <w:rsid w:val="001A2EFB"/>
    <w:rsid w:val="001A7A8F"/>
    <w:rsid w:val="001B6ED2"/>
    <w:rsid w:val="001D395E"/>
    <w:rsid w:val="001D4754"/>
    <w:rsid w:val="001D7EDE"/>
    <w:rsid w:val="001E798B"/>
    <w:rsid w:val="001F4A0D"/>
    <w:rsid w:val="00204C7F"/>
    <w:rsid w:val="00214BEE"/>
    <w:rsid w:val="002218FD"/>
    <w:rsid w:val="0023550C"/>
    <w:rsid w:val="002534C0"/>
    <w:rsid w:val="00257390"/>
    <w:rsid w:val="00257711"/>
    <w:rsid w:val="00267847"/>
    <w:rsid w:val="00271C86"/>
    <w:rsid w:val="00280795"/>
    <w:rsid w:val="00291DD4"/>
    <w:rsid w:val="002940A5"/>
    <w:rsid w:val="0029786B"/>
    <w:rsid w:val="002A0201"/>
    <w:rsid w:val="002A14F1"/>
    <w:rsid w:val="002C4934"/>
    <w:rsid w:val="002D2727"/>
    <w:rsid w:val="002D2AC4"/>
    <w:rsid w:val="002F04B4"/>
    <w:rsid w:val="002F1173"/>
    <w:rsid w:val="002F7BA7"/>
    <w:rsid w:val="00301BFF"/>
    <w:rsid w:val="00317753"/>
    <w:rsid w:val="0032244D"/>
    <w:rsid w:val="00330CB9"/>
    <w:rsid w:val="00330FD8"/>
    <w:rsid w:val="003419AA"/>
    <w:rsid w:val="00344C93"/>
    <w:rsid w:val="003479F6"/>
    <w:rsid w:val="00351F7C"/>
    <w:rsid w:val="00360B49"/>
    <w:rsid w:val="00364971"/>
    <w:rsid w:val="00372D14"/>
    <w:rsid w:val="0037432A"/>
    <w:rsid w:val="00387294"/>
    <w:rsid w:val="00390288"/>
    <w:rsid w:val="00394ABE"/>
    <w:rsid w:val="003B0085"/>
    <w:rsid w:val="003B1634"/>
    <w:rsid w:val="003B3992"/>
    <w:rsid w:val="003B542E"/>
    <w:rsid w:val="003C0CF8"/>
    <w:rsid w:val="003C66D0"/>
    <w:rsid w:val="003D0654"/>
    <w:rsid w:val="003D20B5"/>
    <w:rsid w:val="003D3EB1"/>
    <w:rsid w:val="003D6F1A"/>
    <w:rsid w:val="003E259D"/>
    <w:rsid w:val="003E4C73"/>
    <w:rsid w:val="003E562F"/>
    <w:rsid w:val="003F708A"/>
    <w:rsid w:val="00413131"/>
    <w:rsid w:val="00417812"/>
    <w:rsid w:val="00421489"/>
    <w:rsid w:val="00430854"/>
    <w:rsid w:val="00444808"/>
    <w:rsid w:val="0045016A"/>
    <w:rsid w:val="00454233"/>
    <w:rsid w:val="004754C0"/>
    <w:rsid w:val="004759B3"/>
    <w:rsid w:val="00476837"/>
    <w:rsid w:val="00482035"/>
    <w:rsid w:val="00483424"/>
    <w:rsid w:val="00485DF8"/>
    <w:rsid w:val="00495B32"/>
    <w:rsid w:val="004A0613"/>
    <w:rsid w:val="004A3D6D"/>
    <w:rsid w:val="004B14FF"/>
    <w:rsid w:val="004B77D5"/>
    <w:rsid w:val="004C2DD7"/>
    <w:rsid w:val="004D01AF"/>
    <w:rsid w:val="004D188B"/>
    <w:rsid w:val="004D514D"/>
    <w:rsid w:val="004D6D8C"/>
    <w:rsid w:val="004E130D"/>
    <w:rsid w:val="004E1D34"/>
    <w:rsid w:val="004F1869"/>
    <w:rsid w:val="004F727D"/>
    <w:rsid w:val="005102FE"/>
    <w:rsid w:val="005134EA"/>
    <w:rsid w:val="00517F84"/>
    <w:rsid w:val="005214C4"/>
    <w:rsid w:val="00531BB4"/>
    <w:rsid w:val="00534500"/>
    <w:rsid w:val="0053794B"/>
    <w:rsid w:val="005504DA"/>
    <w:rsid w:val="00552513"/>
    <w:rsid w:val="00554AFC"/>
    <w:rsid w:val="00555CAB"/>
    <w:rsid w:val="005778E1"/>
    <w:rsid w:val="005A3279"/>
    <w:rsid w:val="005A452B"/>
    <w:rsid w:val="005B3CDF"/>
    <w:rsid w:val="005C561F"/>
    <w:rsid w:val="005E624C"/>
    <w:rsid w:val="00606421"/>
    <w:rsid w:val="00611BF6"/>
    <w:rsid w:val="006137BE"/>
    <w:rsid w:val="00621835"/>
    <w:rsid w:val="0062271A"/>
    <w:rsid w:val="00627619"/>
    <w:rsid w:val="00632E2B"/>
    <w:rsid w:val="00634AB4"/>
    <w:rsid w:val="006422D9"/>
    <w:rsid w:val="006423A0"/>
    <w:rsid w:val="00642896"/>
    <w:rsid w:val="0065377C"/>
    <w:rsid w:val="006850CD"/>
    <w:rsid w:val="00687C89"/>
    <w:rsid w:val="006C04C0"/>
    <w:rsid w:val="006C59C8"/>
    <w:rsid w:val="006C78B3"/>
    <w:rsid w:val="006D2A89"/>
    <w:rsid w:val="006D5031"/>
    <w:rsid w:val="006E23F4"/>
    <w:rsid w:val="006E7A98"/>
    <w:rsid w:val="006F3D36"/>
    <w:rsid w:val="0070177D"/>
    <w:rsid w:val="007033E3"/>
    <w:rsid w:val="00703967"/>
    <w:rsid w:val="0070799E"/>
    <w:rsid w:val="007207C3"/>
    <w:rsid w:val="00721D52"/>
    <w:rsid w:val="007262FC"/>
    <w:rsid w:val="00727606"/>
    <w:rsid w:val="007279AB"/>
    <w:rsid w:val="00733D73"/>
    <w:rsid w:val="007428DD"/>
    <w:rsid w:val="007509D2"/>
    <w:rsid w:val="00751887"/>
    <w:rsid w:val="00755640"/>
    <w:rsid w:val="00786155"/>
    <w:rsid w:val="007A29EA"/>
    <w:rsid w:val="007A70C5"/>
    <w:rsid w:val="007B767E"/>
    <w:rsid w:val="007C2C24"/>
    <w:rsid w:val="007E43F7"/>
    <w:rsid w:val="007F111B"/>
    <w:rsid w:val="007F628A"/>
    <w:rsid w:val="00800FDE"/>
    <w:rsid w:val="008351D5"/>
    <w:rsid w:val="008353F8"/>
    <w:rsid w:val="00841593"/>
    <w:rsid w:val="00843AFC"/>
    <w:rsid w:val="00854598"/>
    <w:rsid w:val="00863A5D"/>
    <w:rsid w:val="00863D9A"/>
    <w:rsid w:val="00872007"/>
    <w:rsid w:val="008824E0"/>
    <w:rsid w:val="008859C9"/>
    <w:rsid w:val="008900CC"/>
    <w:rsid w:val="00893EE1"/>
    <w:rsid w:val="00894AC8"/>
    <w:rsid w:val="00897854"/>
    <w:rsid w:val="008A30C4"/>
    <w:rsid w:val="008A721E"/>
    <w:rsid w:val="008B5AA6"/>
    <w:rsid w:val="008C1E1F"/>
    <w:rsid w:val="008C2535"/>
    <w:rsid w:val="008C2BA0"/>
    <w:rsid w:val="008C4C66"/>
    <w:rsid w:val="008D02DA"/>
    <w:rsid w:val="008D73CC"/>
    <w:rsid w:val="008E2A59"/>
    <w:rsid w:val="008E71EA"/>
    <w:rsid w:val="009069CC"/>
    <w:rsid w:val="00911359"/>
    <w:rsid w:val="0091620E"/>
    <w:rsid w:val="00924A4E"/>
    <w:rsid w:val="009317EA"/>
    <w:rsid w:val="00936E55"/>
    <w:rsid w:val="0094064C"/>
    <w:rsid w:val="009470F5"/>
    <w:rsid w:val="00956637"/>
    <w:rsid w:val="00960BC5"/>
    <w:rsid w:val="00974113"/>
    <w:rsid w:val="009823E4"/>
    <w:rsid w:val="009A2B0D"/>
    <w:rsid w:val="009B4F5F"/>
    <w:rsid w:val="009E1216"/>
    <w:rsid w:val="009E20F9"/>
    <w:rsid w:val="009F0AAF"/>
    <w:rsid w:val="00A02293"/>
    <w:rsid w:val="00A02509"/>
    <w:rsid w:val="00A0594A"/>
    <w:rsid w:val="00A05EE8"/>
    <w:rsid w:val="00A12C57"/>
    <w:rsid w:val="00A24C54"/>
    <w:rsid w:val="00A3533A"/>
    <w:rsid w:val="00A565C5"/>
    <w:rsid w:val="00A57F44"/>
    <w:rsid w:val="00A66459"/>
    <w:rsid w:val="00A670AE"/>
    <w:rsid w:val="00A73A1B"/>
    <w:rsid w:val="00A75126"/>
    <w:rsid w:val="00A8560B"/>
    <w:rsid w:val="00A96C5B"/>
    <w:rsid w:val="00AA12EF"/>
    <w:rsid w:val="00AB19B8"/>
    <w:rsid w:val="00AB7769"/>
    <w:rsid w:val="00AC1966"/>
    <w:rsid w:val="00AC4F3D"/>
    <w:rsid w:val="00AD1D7E"/>
    <w:rsid w:val="00AD79AD"/>
    <w:rsid w:val="00AF4CE9"/>
    <w:rsid w:val="00B008F3"/>
    <w:rsid w:val="00B1006C"/>
    <w:rsid w:val="00B2458C"/>
    <w:rsid w:val="00B4322D"/>
    <w:rsid w:val="00B64BF8"/>
    <w:rsid w:val="00B6658F"/>
    <w:rsid w:val="00B70527"/>
    <w:rsid w:val="00B71810"/>
    <w:rsid w:val="00B8045B"/>
    <w:rsid w:val="00B906BE"/>
    <w:rsid w:val="00B962C9"/>
    <w:rsid w:val="00BA33C8"/>
    <w:rsid w:val="00BB6210"/>
    <w:rsid w:val="00BC3A1C"/>
    <w:rsid w:val="00BC4C6F"/>
    <w:rsid w:val="00BC5AF5"/>
    <w:rsid w:val="00BD6434"/>
    <w:rsid w:val="00C03285"/>
    <w:rsid w:val="00C05FEC"/>
    <w:rsid w:val="00C06313"/>
    <w:rsid w:val="00C1628C"/>
    <w:rsid w:val="00C32F29"/>
    <w:rsid w:val="00C33287"/>
    <w:rsid w:val="00C35B14"/>
    <w:rsid w:val="00C37E13"/>
    <w:rsid w:val="00C4186D"/>
    <w:rsid w:val="00C44EB5"/>
    <w:rsid w:val="00C45944"/>
    <w:rsid w:val="00C56FA6"/>
    <w:rsid w:val="00C615FD"/>
    <w:rsid w:val="00C63DFC"/>
    <w:rsid w:val="00C72C47"/>
    <w:rsid w:val="00C75C82"/>
    <w:rsid w:val="00C80620"/>
    <w:rsid w:val="00C8400D"/>
    <w:rsid w:val="00C86A32"/>
    <w:rsid w:val="00C92726"/>
    <w:rsid w:val="00CB0A29"/>
    <w:rsid w:val="00CB40EB"/>
    <w:rsid w:val="00CC026D"/>
    <w:rsid w:val="00CC3E53"/>
    <w:rsid w:val="00CD6E48"/>
    <w:rsid w:val="00CE17EB"/>
    <w:rsid w:val="00CE278E"/>
    <w:rsid w:val="00CE327C"/>
    <w:rsid w:val="00CE3310"/>
    <w:rsid w:val="00CE72BA"/>
    <w:rsid w:val="00CF6796"/>
    <w:rsid w:val="00CF77EA"/>
    <w:rsid w:val="00D04D05"/>
    <w:rsid w:val="00D2523A"/>
    <w:rsid w:val="00D2553B"/>
    <w:rsid w:val="00D2707A"/>
    <w:rsid w:val="00D270BB"/>
    <w:rsid w:val="00D41B48"/>
    <w:rsid w:val="00D4316E"/>
    <w:rsid w:val="00D446A5"/>
    <w:rsid w:val="00D63C64"/>
    <w:rsid w:val="00D724CB"/>
    <w:rsid w:val="00D77DBA"/>
    <w:rsid w:val="00D83BF7"/>
    <w:rsid w:val="00D83C21"/>
    <w:rsid w:val="00D91888"/>
    <w:rsid w:val="00DA3F37"/>
    <w:rsid w:val="00DB0D2D"/>
    <w:rsid w:val="00DB5C73"/>
    <w:rsid w:val="00DC1256"/>
    <w:rsid w:val="00DD3D16"/>
    <w:rsid w:val="00DF4D60"/>
    <w:rsid w:val="00E023B7"/>
    <w:rsid w:val="00E06C98"/>
    <w:rsid w:val="00E06E85"/>
    <w:rsid w:val="00E128D4"/>
    <w:rsid w:val="00E21792"/>
    <w:rsid w:val="00E25703"/>
    <w:rsid w:val="00E302B4"/>
    <w:rsid w:val="00E44FF9"/>
    <w:rsid w:val="00E5348B"/>
    <w:rsid w:val="00E6158D"/>
    <w:rsid w:val="00E62C65"/>
    <w:rsid w:val="00E94E73"/>
    <w:rsid w:val="00EA06B5"/>
    <w:rsid w:val="00EB42FC"/>
    <w:rsid w:val="00EC3FA8"/>
    <w:rsid w:val="00ED531E"/>
    <w:rsid w:val="00EE7A2D"/>
    <w:rsid w:val="00EF4CEA"/>
    <w:rsid w:val="00F02E49"/>
    <w:rsid w:val="00F10860"/>
    <w:rsid w:val="00F11116"/>
    <w:rsid w:val="00F1187F"/>
    <w:rsid w:val="00F13FE0"/>
    <w:rsid w:val="00F16965"/>
    <w:rsid w:val="00F35EB3"/>
    <w:rsid w:val="00F36AA1"/>
    <w:rsid w:val="00F53F8C"/>
    <w:rsid w:val="00F652AF"/>
    <w:rsid w:val="00F744CF"/>
    <w:rsid w:val="00F80D49"/>
    <w:rsid w:val="00F82710"/>
    <w:rsid w:val="00F9776A"/>
    <w:rsid w:val="00FD190F"/>
    <w:rsid w:val="00FD226F"/>
    <w:rsid w:val="00FE45C0"/>
    <w:rsid w:val="00FE550E"/>
    <w:rsid w:val="00FF2FF8"/>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C62036"/>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EA"/>
    <w:rPr>
      <w:sz w:val="28"/>
    </w:rPr>
  </w:style>
  <w:style w:type="paragraph" w:styleId="Heading1">
    <w:name w:val="heading 1"/>
    <w:next w:val="Normal"/>
    <w:link w:val="Heading1Char"/>
    <w:uiPriority w:val="9"/>
    <w:unhideWhenUsed/>
    <w:qFormat/>
    <w:rsid w:val="00E25703"/>
    <w:pPr>
      <w:keepNext/>
      <w:keepLines/>
      <w:spacing w:after="199"/>
      <w:outlineLvl w:val="0"/>
    </w:pPr>
    <w:rPr>
      <w:rFonts w:eastAsia="Calibri" w:cs="Calibri"/>
      <w:b/>
      <w:color w:val="355E3B"/>
      <w:sz w:val="40"/>
    </w:rPr>
  </w:style>
  <w:style w:type="paragraph" w:styleId="Heading2">
    <w:name w:val="heading 2"/>
    <w:next w:val="Normal"/>
    <w:link w:val="Heading2Char"/>
    <w:uiPriority w:val="9"/>
    <w:unhideWhenUsed/>
    <w:qFormat/>
    <w:rsid w:val="003E4C73"/>
    <w:pPr>
      <w:keepNext/>
      <w:keepLines/>
      <w:pBdr>
        <w:top w:val="single" w:sz="12" w:space="1" w:color="355E3B"/>
        <w:bottom w:val="single" w:sz="12" w:space="1" w:color="355E3B"/>
      </w:pBdr>
      <w:ind w:left="10" w:hanging="10"/>
      <w:outlineLvl w:val="1"/>
    </w:pPr>
    <w:rPr>
      <w:rFonts w:eastAsia="Calibri" w:cs="Calibri"/>
      <w:b/>
      <w:color w:val="355E3B"/>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Heading2"/>
    <w:next w:val="Normal"/>
    <w:link w:val="Heading4Char"/>
    <w:uiPriority w:val="9"/>
    <w:unhideWhenUsed/>
    <w:qFormat/>
    <w:rsid w:val="00FD226F"/>
    <w:pPr>
      <w:outlineLvl w:val="3"/>
    </w:pPr>
  </w:style>
  <w:style w:type="paragraph" w:styleId="Heading5">
    <w:name w:val="heading 5"/>
    <w:basedOn w:val="Normal"/>
    <w:next w:val="Normal"/>
    <w:link w:val="Heading5Char"/>
    <w:uiPriority w:val="9"/>
    <w:unhideWhenUsed/>
    <w:qFormat/>
    <w:rsid w:val="00417812"/>
    <w:pPr>
      <w:keepNext/>
      <w:keepLines/>
      <w:spacing w:before="40"/>
      <w:outlineLvl w:val="4"/>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703"/>
    <w:rPr>
      <w:rFonts w:eastAsia="Calibri" w:cs="Calibri"/>
      <w:b/>
      <w:color w:val="355E3B"/>
      <w:sz w:val="40"/>
    </w:rPr>
  </w:style>
  <w:style w:type="character" w:customStyle="1" w:styleId="Heading2Char">
    <w:name w:val="Heading 2 Char"/>
    <w:link w:val="Heading2"/>
    <w:uiPriority w:val="9"/>
    <w:rsid w:val="003E4C73"/>
    <w:rPr>
      <w:rFonts w:eastAsia="Calibri" w:cs="Calibri"/>
      <w:b/>
      <w:color w:val="355E3B"/>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3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FD226F"/>
    <w:rPr>
      <w:rFonts w:eastAsia="Calibri" w:cs="Calibri"/>
      <w:b/>
      <w:color w:val="355E3B"/>
      <w:sz w:val="28"/>
      <w:lang w:val="fr-CA"/>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character" w:customStyle="1" w:styleId="Heading5Char">
    <w:name w:val="Heading 5 Char"/>
    <w:basedOn w:val="DefaultParagraphFont"/>
    <w:link w:val="Heading5"/>
    <w:uiPriority w:val="9"/>
    <w:rsid w:val="00417812"/>
    <w:rPr>
      <w:rFonts w:asciiTheme="majorHAnsi" w:eastAsiaTheme="majorEastAsia" w:hAnsiTheme="majorHAnsi" w:cstheme="majorBidi"/>
      <w:color w:val="385623" w:themeColor="accent6"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676">
      <w:bodyDiv w:val="1"/>
      <w:marLeft w:val="0"/>
      <w:marRight w:val="0"/>
      <w:marTop w:val="0"/>
      <w:marBottom w:val="0"/>
      <w:divBdr>
        <w:top w:val="none" w:sz="0" w:space="0" w:color="auto"/>
        <w:left w:val="none" w:sz="0" w:space="0" w:color="auto"/>
        <w:bottom w:val="none" w:sz="0" w:space="0" w:color="auto"/>
        <w:right w:val="none" w:sz="0" w:space="0" w:color="auto"/>
      </w:divBdr>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gov.mb.ca/laws/regs/current/_pdf-regs.php?reg=171/2015" TargetMode="External"/><Relationship Id="rId13" Type="http://schemas.openxmlformats.org/officeDocument/2006/relationships/hyperlink" Target="http://www.accessibilitymb.ca/pdf/tips_for_employees.fr.pdf" TargetMode="External"/><Relationship Id="rId18" Type="http://schemas.openxmlformats.org/officeDocument/2006/relationships/hyperlink" Target="https://www.facebook.com/hashtag/accessiblem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ccessibilitymb.ca/newsletter.html" TargetMode="External"/><Relationship Id="rId7" Type="http://schemas.openxmlformats.org/officeDocument/2006/relationships/endnotes" Target="endnotes.xml"/><Relationship Id="rId12" Type="http://schemas.openxmlformats.org/officeDocument/2006/relationships/hyperlink" Target="http://accessibilitymb.ca/law.fr.html" TargetMode="External"/><Relationship Id="rId17" Type="http://schemas.openxmlformats.org/officeDocument/2006/relationships/hyperlink" Target="https://twitter.com/hashtag/accessiblemb?f=tweets&amp;vertical=defau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cessibiliteMB.ca" TargetMode="External"/><Relationship Id="rId20" Type="http://schemas.openxmlformats.org/officeDocument/2006/relationships/hyperlink" Target="http://accessibilitemb.ca/"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types-of-barriers.fr.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ccessibilitymb.ca/pdf/active_offer_signage_explanation.fr.docx"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mailto:dio@gov.mb.c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ccessibilitemb.ca/" TargetMode="External"/><Relationship Id="rId14" Type="http://schemas.openxmlformats.org/officeDocument/2006/relationships/hyperlink" Target="http://www.accessibilitymb.ca/pdf/active_offer_sign_non_gov.pdf" TargetMode="External"/><Relationship Id="rId22" Type="http://schemas.openxmlformats.org/officeDocument/2006/relationships/footer" Target="foot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4134A-9857-4072-979D-A215A3A485BF}">
  <ds:schemaRefs>
    <ds:schemaRef ds:uri="http://schemas.openxmlformats.org/officeDocument/2006/bibliography"/>
  </ds:schemaRefs>
</ds:datastoreItem>
</file>

<file path=customXml/itemProps2.xml><?xml version="1.0" encoding="utf-8"?>
<ds:datastoreItem xmlns:ds="http://schemas.openxmlformats.org/officeDocument/2006/customXml" ds:itemID="{DFE85614-FCB3-490E-8E3B-3E6CD75FD4BC}"/>
</file>

<file path=customXml/itemProps3.xml><?xml version="1.0" encoding="utf-8"?>
<ds:datastoreItem xmlns:ds="http://schemas.openxmlformats.org/officeDocument/2006/customXml" ds:itemID="{517A8926-8621-4786-A58B-7D86AE9FB7D1}"/>
</file>

<file path=customXml/itemProps4.xml><?xml version="1.0" encoding="utf-8"?>
<ds:datastoreItem xmlns:ds="http://schemas.openxmlformats.org/officeDocument/2006/customXml" ds:itemID="{5AEB5356-9281-4D03-A729-C9A40E7A8798}"/>
</file>

<file path=docProps/app.xml><?xml version="1.0" encoding="utf-8"?>
<Properties xmlns="http://schemas.openxmlformats.org/officeDocument/2006/extended-properties" xmlns:vt="http://schemas.openxmlformats.org/officeDocument/2006/docPropsVTypes">
  <Template>Normal.dotm</Template>
  <TotalTime>7</TotalTime>
  <Pages>12</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Pknipe;EWalker</dc:creator>
  <cp:keywords/>
  <cp:lastModifiedBy>Walker, Emily (FAM)</cp:lastModifiedBy>
  <cp:revision>3</cp:revision>
  <cp:lastPrinted>2019-02-19T18:41:00Z</cp:lastPrinted>
  <dcterms:created xsi:type="dcterms:W3CDTF">2019-03-19T19:01:00Z</dcterms:created>
  <dcterms:modified xsi:type="dcterms:W3CDTF">2019-10-18T19:05:00Z</dcterms:modified>
</cp:coreProperties>
</file>