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955E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5EA4" w:rsidRPr="00687C91" w:rsidRDefault="00955EA4" w:rsidP="00687C91">
      <w:pPr>
        <w:pStyle w:val="Title"/>
        <w:rPr>
          <w:rFonts w:ascii="Arial" w:hAnsi="Arial" w:cs="Arial"/>
          <w:sz w:val="40"/>
        </w:rPr>
      </w:pPr>
      <w:r w:rsidRPr="00687C91">
        <w:rPr>
          <w:rFonts w:ascii="Arial" w:hAnsi="Arial" w:cs="Arial"/>
          <w:sz w:val="40"/>
        </w:rPr>
        <w:t>THE ACCESSIBILITY FOR MANITOBANS ACT</w:t>
      </w:r>
    </w:p>
    <w:p w:rsidR="00955EA4" w:rsidRPr="00687C91" w:rsidRDefault="00955EA4" w:rsidP="00687C91">
      <w:pPr>
        <w:pStyle w:val="Title"/>
        <w:rPr>
          <w:rFonts w:ascii="Arial" w:hAnsi="Arial" w:cs="Arial"/>
          <w:sz w:val="40"/>
        </w:rPr>
      </w:pPr>
      <w:r w:rsidRPr="00687C91">
        <w:rPr>
          <w:rFonts w:ascii="Arial" w:hAnsi="Arial" w:cs="Arial"/>
          <w:sz w:val="40"/>
        </w:rPr>
        <w:t>(C.C.S.M. c. A1.7)</w:t>
      </w:r>
    </w:p>
    <w:p w:rsidR="00955EA4" w:rsidRPr="00687C91" w:rsidRDefault="00955EA4" w:rsidP="00687C91">
      <w:pPr>
        <w:pStyle w:val="Title"/>
        <w:rPr>
          <w:rFonts w:ascii="Arial" w:hAnsi="Arial" w:cs="Arial"/>
        </w:rPr>
      </w:pPr>
    </w:p>
    <w:p w:rsidR="00955EA4" w:rsidRPr="003A5FF5" w:rsidRDefault="00955EA4" w:rsidP="003A5FF5">
      <w:pPr>
        <w:pStyle w:val="Title"/>
        <w:rPr>
          <w:rFonts w:ascii="Arial" w:hAnsi="Arial" w:cs="Arial"/>
          <w:b/>
          <w:bCs/>
          <w:sz w:val="32"/>
          <w:szCs w:val="20"/>
        </w:rPr>
      </w:pPr>
      <w:r w:rsidRPr="00687C91">
        <w:rPr>
          <w:rFonts w:ascii="Arial" w:hAnsi="Arial" w:cs="Arial"/>
          <w:b/>
          <w:bCs/>
          <w:sz w:val="32"/>
          <w:szCs w:val="20"/>
        </w:rPr>
        <w:t>Customer Service Standard Regulation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Regulation 171/2015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Registered October 19, 2015</w:t>
      </w: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jc w:val="center"/>
        <w:rPr>
          <w:rFonts w:ascii="Arial" w:hAnsi="Arial" w:cs="Arial"/>
          <w:i w:val="0"/>
          <w:color w:val="auto"/>
          <w:sz w:val="28"/>
        </w:rPr>
      </w:pPr>
      <w:r w:rsidRPr="00687C91">
        <w:rPr>
          <w:rFonts w:ascii="Arial" w:hAnsi="Arial" w:cs="Arial"/>
          <w:i w:val="0"/>
          <w:color w:val="auto"/>
          <w:sz w:val="28"/>
        </w:rPr>
        <w:t>TABLE OF CONTENTS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Section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gramStart"/>
      <w:r w:rsidRPr="00687C91">
        <w:rPr>
          <w:rFonts w:ascii="Arial" w:hAnsi="Arial" w:cs="Arial"/>
          <w:color w:val="000000"/>
          <w:sz w:val="24"/>
          <w:szCs w:val="24"/>
        </w:rPr>
        <w:t>Definitions</w:t>
      </w:r>
      <w:proofErr w:type="gram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2 Meaning of accessible customer service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3 Application and phase-in of obligations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4 Barrier-free access to goods and services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  <w:lang w:val="fr-CA"/>
        </w:rPr>
      </w:pPr>
      <w:r w:rsidRPr="00687C91">
        <w:rPr>
          <w:rFonts w:ascii="Arial" w:hAnsi="Arial" w:cs="Arial"/>
          <w:color w:val="000000"/>
          <w:sz w:val="24"/>
          <w:szCs w:val="24"/>
          <w:lang w:val="fr-CA"/>
        </w:rPr>
        <w:t>5 Communications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  <w:lang w:val="fr-CA"/>
        </w:rPr>
      </w:pPr>
      <w:r w:rsidRPr="00687C91">
        <w:rPr>
          <w:rFonts w:ascii="Arial" w:hAnsi="Arial" w:cs="Arial"/>
          <w:color w:val="000000"/>
          <w:sz w:val="24"/>
          <w:szCs w:val="24"/>
          <w:lang w:val="fr-CA"/>
        </w:rPr>
        <w:t xml:space="preserve">6 </w:t>
      </w:r>
      <w:proofErr w:type="spellStart"/>
      <w:r w:rsidRPr="00687C91">
        <w:rPr>
          <w:rFonts w:ascii="Arial" w:hAnsi="Arial" w:cs="Arial"/>
          <w:color w:val="000000"/>
          <w:sz w:val="24"/>
          <w:szCs w:val="24"/>
          <w:lang w:val="fr-CA"/>
        </w:rPr>
        <w:t>Assistive</w:t>
      </w:r>
      <w:proofErr w:type="spellEnd"/>
      <w:r w:rsidRPr="00687C91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r w:rsidRPr="00687C91">
        <w:rPr>
          <w:rFonts w:ascii="Arial" w:hAnsi="Arial" w:cs="Arial"/>
          <w:color w:val="000000"/>
          <w:sz w:val="24"/>
          <w:szCs w:val="24"/>
          <w:lang w:val="fr-CA"/>
        </w:rPr>
        <w:t>devices</w:t>
      </w:r>
      <w:proofErr w:type="spell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  <w:lang w:val="fr-CA"/>
        </w:rPr>
      </w:pPr>
      <w:r w:rsidRPr="00687C91">
        <w:rPr>
          <w:rFonts w:ascii="Arial" w:hAnsi="Arial" w:cs="Arial"/>
          <w:color w:val="000000"/>
          <w:sz w:val="24"/>
          <w:szCs w:val="24"/>
          <w:lang w:val="fr-CA"/>
        </w:rPr>
        <w:t xml:space="preserve">7 Support </w:t>
      </w:r>
      <w:proofErr w:type="spellStart"/>
      <w:r w:rsidRPr="00687C91">
        <w:rPr>
          <w:rFonts w:ascii="Arial" w:hAnsi="Arial" w:cs="Arial"/>
          <w:color w:val="000000"/>
          <w:sz w:val="24"/>
          <w:szCs w:val="24"/>
          <w:lang w:val="fr-CA"/>
        </w:rPr>
        <w:t>persons</w:t>
      </w:r>
      <w:proofErr w:type="spell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  <w:lang w:val="fr-CA"/>
        </w:rPr>
      </w:pPr>
      <w:r w:rsidRPr="00687C91">
        <w:rPr>
          <w:rFonts w:ascii="Arial" w:hAnsi="Arial" w:cs="Arial"/>
          <w:color w:val="000000"/>
          <w:sz w:val="24"/>
          <w:szCs w:val="24"/>
          <w:lang w:val="fr-CA"/>
        </w:rPr>
        <w:t xml:space="preserve">8 Service </w:t>
      </w:r>
      <w:proofErr w:type="spellStart"/>
      <w:r w:rsidRPr="00687C91">
        <w:rPr>
          <w:rFonts w:ascii="Arial" w:hAnsi="Arial" w:cs="Arial"/>
          <w:color w:val="000000"/>
          <w:sz w:val="24"/>
          <w:szCs w:val="24"/>
          <w:lang w:val="fr-CA"/>
        </w:rPr>
        <w:t>animals</w:t>
      </w:r>
      <w:proofErr w:type="spell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 xml:space="preserve">9 Built </w:t>
      </w:r>
      <w:proofErr w:type="gramStart"/>
      <w:r w:rsidRPr="00687C91">
        <w:rPr>
          <w:rFonts w:ascii="Arial" w:hAnsi="Arial" w:cs="Arial"/>
          <w:color w:val="000000"/>
          <w:sz w:val="24"/>
          <w:szCs w:val="24"/>
        </w:rPr>
        <w:t>environment</w:t>
      </w:r>
      <w:proofErr w:type="gram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10 Feedback re accessible customer service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7C91">
        <w:rPr>
          <w:rFonts w:ascii="Arial" w:hAnsi="Arial" w:cs="Arial"/>
          <w:color w:val="000000"/>
          <w:sz w:val="24"/>
          <w:szCs w:val="24"/>
        </w:rPr>
        <w:t>11 Documentation re measures, etc.</w:t>
      </w:r>
      <w:proofErr w:type="gram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687C91">
        <w:rPr>
          <w:rFonts w:ascii="Arial" w:hAnsi="Arial" w:cs="Arial"/>
          <w:color w:val="000000"/>
          <w:sz w:val="24"/>
          <w:szCs w:val="24"/>
        </w:rPr>
        <w:t>12 Compliance</w:t>
      </w:r>
      <w:proofErr w:type="gramEnd"/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13 Training for staff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14 Documentation re training</w:t>
      </w:r>
    </w:p>
    <w:p w:rsidR="00955EA4" w:rsidRPr="00687C91" w:rsidRDefault="00955EA4" w:rsidP="00C92C3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15 Accessibility of public events</w:t>
      </w:r>
    </w:p>
    <w:p w:rsidR="00955EA4" w:rsidRPr="00687C91" w:rsidRDefault="00955EA4" w:rsidP="0001408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687C91">
        <w:rPr>
          <w:rFonts w:ascii="Arial" w:hAnsi="Arial" w:cs="Arial"/>
          <w:color w:val="000000"/>
          <w:sz w:val="24"/>
          <w:szCs w:val="24"/>
        </w:rPr>
        <w:t>16 Coming into force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23"/>
          <w:szCs w:val="19"/>
        </w:rPr>
      </w:pPr>
    </w:p>
    <w:p w:rsidR="00955EA4" w:rsidRPr="003A5FF5" w:rsidRDefault="00955EA4" w:rsidP="003A5FF5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24"/>
          <w:szCs w:val="24"/>
        </w:rPr>
      </w:pPr>
      <w:r w:rsidRPr="003A5FF5">
        <w:rPr>
          <w:rFonts w:ascii="BookmanITCLtBT" w:hAnsi="BookmanITCLtBT" w:cs="BookmanITCLtBT"/>
          <w:color w:val="000000"/>
          <w:sz w:val="24"/>
          <w:szCs w:val="24"/>
        </w:rPr>
        <w:t>INTRODUCTORY PROVISIONS</w:t>
      </w: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Definitions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The following definitions apply in this</w:t>
      </w:r>
      <w:r w:rsidR="00687C91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regulation.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01408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  <w:iCs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"Act" </w:t>
      </w:r>
      <w:r w:rsidRPr="00687C91">
        <w:rPr>
          <w:rFonts w:ascii="Arial" w:hAnsi="Arial" w:cs="Arial"/>
          <w:color w:val="000000"/>
          <w:sz w:val="24"/>
          <w:szCs w:val="19"/>
        </w:rPr>
        <w:t xml:space="preserve">means </w:t>
      </w:r>
      <w:r w:rsidRPr="00687C91">
        <w:rPr>
          <w:rFonts w:ascii="Arial" w:hAnsi="Arial" w:cs="Arial"/>
          <w:i/>
          <w:iCs/>
          <w:color w:val="000000"/>
          <w:sz w:val="24"/>
          <w:szCs w:val="19"/>
        </w:rPr>
        <w:t>The Accessibility for Manitobans</w:t>
      </w:r>
      <w:r w:rsidR="00014081" w:rsidRPr="00687C91">
        <w:rPr>
          <w:rFonts w:ascii="Arial" w:hAnsi="Arial" w:cs="Arial"/>
          <w:i/>
          <w:iCs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i/>
          <w:iCs/>
          <w:color w:val="000000"/>
          <w:sz w:val="24"/>
          <w:szCs w:val="19"/>
        </w:rPr>
        <w:t>Act</w:t>
      </w:r>
      <w:r w:rsidRPr="00687C91">
        <w:rPr>
          <w:rFonts w:ascii="Arial" w:hAnsi="Arial" w:cs="Arial"/>
          <w:color w:val="000000"/>
          <w:sz w:val="24"/>
          <w:szCs w:val="19"/>
        </w:rPr>
        <w:t xml:space="preserve">. (« </w:t>
      </w:r>
      <w:r w:rsidRPr="00687C91">
        <w:rPr>
          <w:rFonts w:ascii="Arial" w:hAnsi="Arial" w:cs="Arial"/>
          <w:i/>
          <w:iCs/>
          <w:color w:val="000000"/>
          <w:sz w:val="24"/>
          <w:szCs w:val="19"/>
        </w:rPr>
        <w:t xml:space="preserve">Loi </w:t>
      </w:r>
      <w:r w:rsidRPr="00687C91">
        <w:rPr>
          <w:rFonts w:ascii="Arial" w:hAnsi="Arial" w:cs="Arial"/>
          <w:color w:val="000000"/>
          <w:sz w:val="24"/>
          <w:szCs w:val="19"/>
        </w:rPr>
        <w:t>»)</w:t>
      </w:r>
    </w:p>
    <w:p w:rsidR="00955EA4" w:rsidRPr="00687C91" w:rsidRDefault="00955EA4" w:rsidP="008E0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01408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lastRenderedPageBreak/>
        <w:t>"</w:t>
      </w:r>
      <w:proofErr w:type="gramStart"/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service</w:t>
      </w:r>
      <w:proofErr w:type="gramEnd"/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 animal" </w:t>
      </w:r>
      <w:r w:rsidRPr="00687C91">
        <w:rPr>
          <w:rFonts w:ascii="Arial" w:hAnsi="Arial" w:cs="Arial"/>
          <w:color w:val="000000"/>
          <w:sz w:val="24"/>
          <w:szCs w:val="19"/>
        </w:rPr>
        <w:t>means a service animal as</w:t>
      </w:r>
      <w:r w:rsidR="00014081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 xml:space="preserve">defined in </w:t>
      </w:r>
      <w:r w:rsidRPr="00687C91">
        <w:rPr>
          <w:rFonts w:ascii="Arial" w:hAnsi="Arial" w:cs="Arial"/>
          <w:i/>
          <w:iCs/>
          <w:color w:val="000000"/>
          <w:sz w:val="24"/>
          <w:szCs w:val="19"/>
        </w:rPr>
        <w:t>The Human Rights Code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>. («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animal</w:t>
      </w:r>
      <w:proofErr w:type="gramEnd"/>
      <w:r w:rsidR="00014081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proofErr w:type="spellStart"/>
      <w:r w:rsidRPr="00687C91">
        <w:rPr>
          <w:rFonts w:ascii="Arial" w:hAnsi="Arial" w:cs="Arial"/>
          <w:color w:val="000000"/>
          <w:sz w:val="24"/>
          <w:szCs w:val="19"/>
        </w:rPr>
        <w:t>d'assistance</w:t>
      </w:r>
      <w:proofErr w:type="spellEnd"/>
      <w:r w:rsidRPr="00687C91">
        <w:rPr>
          <w:rFonts w:ascii="Arial" w:hAnsi="Arial" w:cs="Arial"/>
          <w:color w:val="000000"/>
          <w:sz w:val="24"/>
          <w:szCs w:val="19"/>
        </w:rPr>
        <w:t xml:space="preserve"> »)</w:t>
      </w:r>
    </w:p>
    <w:p w:rsidR="00955EA4" w:rsidRPr="00687C91" w:rsidRDefault="00955EA4" w:rsidP="008E0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"</w:t>
      </w:r>
      <w:proofErr w:type="gramStart"/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support</w:t>
      </w:r>
      <w:proofErr w:type="gramEnd"/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 person" </w:t>
      </w:r>
      <w:r w:rsidRPr="00687C91">
        <w:rPr>
          <w:rFonts w:ascii="Arial" w:hAnsi="Arial" w:cs="Arial"/>
          <w:color w:val="000000"/>
          <w:sz w:val="24"/>
          <w:szCs w:val="19"/>
        </w:rPr>
        <w:t>means, in relation to a person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who is disabled by a barrier, a person who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="00014081" w:rsidRPr="00687C91">
        <w:rPr>
          <w:rFonts w:ascii="Arial" w:hAnsi="Arial" w:cs="Arial"/>
          <w:color w:val="000000"/>
          <w:sz w:val="24"/>
          <w:szCs w:val="19"/>
        </w:rPr>
        <w:t xml:space="preserve">accompanies </w:t>
      </w:r>
      <w:r w:rsidRPr="00687C91">
        <w:rPr>
          <w:rFonts w:ascii="Arial" w:hAnsi="Arial" w:cs="Arial"/>
          <w:color w:val="000000"/>
          <w:sz w:val="24"/>
          <w:szCs w:val="19"/>
        </w:rPr>
        <w:t>the person to</w:t>
      </w:r>
    </w:p>
    <w:p w:rsidR="008E027E" w:rsidRPr="00687C91" w:rsidRDefault="008E027E" w:rsidP="00932F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19"/>
        </w:rPr>
      </w:pPr>
    </w:p>
    <w:p w:rsidR="008E027E" w:rsidRPr="00687C91" w:rsidRDefault="00955EA4" w:rsidP="008E02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support the person obtaining, using or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benefiting from a good or service provided by an organization; or</w:t>
      </w:r>
    </w:p>
    <w:p w:rsidR="008E027E" w:rsidRPr="00687C91" w:rsidRDefault="008E027E" w:rsidP="008E027E">
      <w:pPr>
        <w:pStyle w:val="ListParagraph"/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21028D" w:rsidRPr="00687C91" w:rsidRDefault="00955EA4" w:rsidP="00955EA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assist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the person in addressing his or her communication, mobility, personal care or medical needs. </w:t>
      </w:r>
      <w:r w:rsidR="00014081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="008E027E" w:rsidRPr="00687C91">
        <w:rPr>
          <w:rFonts w:ascii="Arial" w:hAnsi="Arial" w:cs="Arial"/>
          <w:color w:val="000000"/>
          <w:sz w:val="24"/>
          <w:szCs w:val="19"/>
          <w:lang w:val="fr-CA"/>
        </w:rPr>
        <w:t>(« personne de confiance</w:t>
      </w:r>
      <w:r w:rsidRPr="00687C91">
        <w:rPr>
          <w:rFonts w:ascii="Arial" w:hAnsi="Arial" w:cs="Arial"/>
          <w:color w:val="000000"/>
          <w:sz w:val="24"/>
          <w:szCs w:val="19"/>
          <w:lang w:val="fr-CA"/>
        </w:rPr>
        <w:t>»)</w:t>
      </w:r>
    </w:p>
    <w:p w:rsidR="0021028D" w:rsidRDefault="0021028D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Meaning of accessible customer service</w:t>
      </w:r>
    </w:p>
    <w:p w:rsidR="002172BD" w:rsidRPr="00BB1832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2 </w:t>
      </w:r>
      <w:r w:rsidR="00932F55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687C91">
        <w:rPr>
          <w:rFonts w:ascii="Arial" w:hAnsi="Arial" w:cs="Arial"/>
          <w:color w:val="000000"/>
          <w:sz w:val="24"/>
          <w:szCs w:val="19"/>
        </w:rPr>
        <w:t>For the purpose of this regulation,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accessible customer service is provided when all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persons who are reasonably expected to seek to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obtain, use or benefit from a good or service have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the same opportunity to obtain, use or benefit from</w:t>
      </w:r>
      <w:r w:rsidR="008E027E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the good or service.</w:t>
      </w:r>
    </w:p>
    <w:p w:rsidR="00955EA4" w:rsidRPr="00D2118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21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Application and phase-in of obligations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3 </w:t>
      </w:r>
      <w:r w:rsidR="00932F55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687C91">
        <w:rPr>
          <w:rFonts w:ascii="Arial" w:hAnsi="Arial" w:cs="Arial"/>
          <w:color w:val="000000"/>
          <w:sz w:val="24"/>
          <w:szCs w:val="19"/>
        </w:rPr>
        <w:t>The following organizations are subject</w:t>
      </w:r>
      <w:r w:rsidR="00014081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to sections 4 to 15 at the following times;</w:t>
      </w:r>
    </w:p>
    <w:p w:rsidR="00932F55" w:rsidRPr="00687C91" w:rsidRDefault="00932F55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850D96" w:rsidRPr="00687C91" w:rsidRDefault="00955EA4" w:rsidP="008E02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on the day that is one year after the coming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into force of this regulation, a department of the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government;</w:t>
      </w:r>
    </w:p>
    <w:p w:rsidR="00932F55" w:rsidRPr="00687C91" w:rsidRDefault="00932F55" w:rsidP="008E0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850D96" w:rsidRPr="00687C91" w:rsidRDefault="00955EA4" w:rsidP="008E02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on the day that is two years after the coming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into force of this regulation,</w:t>
      </w:r>
    </w:p>
    <w:p w:rsidR="00932F55" w:rsidRPr="00687C91" w:rsidRDefault="00932F55" w:rsidP="002172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(i)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government agency as defined in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section 1 of The Financial Administration</w:t>
      </w: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Act,</w:t>
      </w:r>
    </w:p>
    <w:p w:rsidR="00932F55" w:rsidRPr="00687C91" w:rsidRDefault="00932F55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(ii)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university and a college as defined in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section 1 of The Advanced Education</w:t>
      </w: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Administration Act,</w:t>
      </w:r>
    </w:p>
    <w:p w:rsidR="00932F55" w:rsidRPr="00687C91" w:rsidRDefault="00932F55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(iii)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regional health authority established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under The Regional Health Authorities Act,</w:t>
      </w:r>
    </w:p>
    <w:p w:rsidR="00932F55" w:rsidRPr="00687C91" w:rsidRDefault="00932F55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(iv) The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City of Winnipeg and a municipality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that is a city, as listed in Schedule A of the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Municipal Status and Boundaries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Regulation</w:t>
      </w:r>
      <w:r w:rsidR="00932F55" w:rsidRPr="00687C91">
        <w:rPr>
          <w:rFonts w:ascii="Arial" w:hAnsi="Arial" w:cs="Arial"/>
          <w:color w:val="000000"/>
          <w:sz w:val="24"/>
          <w:szCs w:val="19"/>
        </w:rPr>
        <w:t>, Manitoba Regulation 567/88</w:t>
      </w:r>
      <w:r w:rsidRPr="00687C91">
        <w:rPr>
          <w:rFonts w:ascii="Arial" w:hAnsi="Arial" w:cs="Arial"/>
          <w:color w:val="000000"/>
          <w:sz w:val="24"/>
          <w:szCs w:val="19"/>
        </w:rPr>
        <w:t>R,</w:t>
      </w:r>
    </w:p>
    <w:p w:rsidR="00955EA4" w:rsidRPr="00687C91" w:rsidRDefault="00932F55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and</w:t>
      </w:r>
      <w:proofErr w:type="gramEnd"/>
    </w:p>
    <w:p w:rsidR="00932F55" w:rsidRPr="00687C91" w:rsidRDefault="00932F55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(v)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school division and a school district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established under The Public Schools Act;</w:t>
      </w:r>
    </w:p>
    <w:p w:rsidR="002172BD" w:rsidRPr="00687C91" w:rsidRDefault="002172BD" w:rsidP="002172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2172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(c)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on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the day that is three years after the 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>coming into</w:t>
      </w:r>
      <w:r w:rsidRPr="00687C91">
        <w:rPr>
          <w:rFonts w:ascii="Arial" w:hAnsi="Arial" w:cs="Arial"/>
          <w:color w:val="000000"/>
          <w:sz w:val="24"/>
          <w:szCs w:val="19"/>
        </w:rPr>
        <w:t xml:space="preserve"> force of this regulation, any other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organization subject to the Act that</w:t>
      </w:r>
    </w:p>
    <w:p w:rsidR="002172BD" w:rsidRPr="00687C91" w:rsidRDefault="002172BD" w:rsidP="002172BD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AE1C7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lastRenderedPageBreak/>
        <w:t>(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i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>) provides goods or services directly to the</w:t>
      </w:r>
      <w:r w:rsidR="002172B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public or to another organization in</w:t>
      </w:r>
    </w:p>
    <w:p w:rsidR="00955EA4" w:rsidRPr="00687C91" w:rsidRDefault="00955EA4" w:rsidP="00AE1C7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Manitoba, and</w:t>
      </w:r>
    </w:p>
    <w:p w:rsidR="002172BD" w:rsidRPr="00687C91" w:rsidRDefault="002172BD" w:rsidP="00AE1C7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</w:p>
    <w:p w:rsidR="00932F55" w:rsidRPr="00687C91" w:rsidRDefault="00955EA4" w:rsidP="00BB1832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 xml:space="preserve">(ii)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has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one or more employees in Manitoba.</w:t>
      </w:r>
    </w:p>
    <w:p w:rsidR="00932F55" w:rsidRPr="005A313F" w:rsidRDefault="00932F55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850D96" w:rsidRPr="005A313F" w:rsidRDefault="00850D96" w:rsidP="00AE1C7D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3A5FF5" w:rsidRDefault="00955EA4" w:rsidP="00AE1C7D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24"/>
          <w:szCs w:val="24"/>
        </w:rPr>
      </w:pPr>
      <w:r w:rsidRPr="003A5FF5">
        <w:rPr>
          <w:rFonts w:ascii="BookmanITCLtBT" w:hAnsi="BookmanITCLtBT" w:cs="BookmanITCLtBT"/>
          <w:color w:val="000000"/>
          <w:sz w:val="24"/>
          <w:szCs w:val="24"/>
        </w:rPr>
        <w:t>MEASURES, POLICIES AND PRACTICES</w:t>
      </w:r>
    </w:p>
    <w:p w:rsidR="00687C91" w:rsidRDefault="00687C91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Barrier-free access to goods and services</w:t>
      </w: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4(1)</w:t>
      </w:r>
      <w:r w:rsidR="00C52279" w:rsidRPr="00687C91">
        <w:rPr>
          <w:rFonts w:ascii="Arial" w:hAnsi="Arial" w:cs="Arial"/>
          <w:color w:val="000000"/>
          <w:sz w:val="24"/>
          <w:szCs w:val="19"/>
        </w:rPr>
        <w:tab/>
      </w:r>
      <w:r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organization must establish and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implement measures, policies and practices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respecting barrier-free access to the goods or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services it provides.</w:t>
      </w:r>
    </w:p>
    <w:p w:rsidR="00AE1C7D" w:rsidRPr="00687C91" w:rsidRDefault="00AE1C7D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4(2)</w:t>
      </w:r>
      <w:r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="00C52279" w:rsidRPr="00687C91">
        <w:rPr>
          <w:rFonts w:ascii="Arial" w:hAnsi="Arial" w:cs="Arial"/>
          <w:color w:val="000000"/>
          <w:sz w:val="24"/>
          <w:szCs w:val="19"/>
        </w:rPr>
        <w:tab/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In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establishing and implementing its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measures, policies and practices, an organization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must</w:t>
      </w:r>
    </w:p>
    <w:p w:rsidR="00AE1C7D" w:rsidRPr="00687C91" w:rsidRDefault="00AE1C7D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identify barriers to accessible customer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service that exist respecting the goods or services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it provides;</w:t>
      </w:r>
    </w:p>
    <w:p w:rsidR="00AE1C7D" w:rsidRPr="00687C91" w:rsidRDefault="00AE1C7D" w:rsidP="008E027E">
      <w:pPr>
        <w:pStyle w:val="ListParagraph"/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seek to remove the existing barriers it is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responsible for, so that all persons reasonably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expected to seek to obtain, use or benefit from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the good or service can do so using the same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means;</w:t>
      </w:r>
    </w:p>
    <w:p w:rsidR="00AE1C7D" w:rsidRPr="00687C91" w:rsidRDefault="00AE1C7D" w:rsidP="008E027E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ensure that a fee or charge relating to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accommodating a person who is disabled by a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barrier is imposed only if the organization cannot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reasonably accommodate the person otherwise;</w:t>
      </w:r>
    </w:p>
    <w:p w:rsidR="00AE1C7D" w:rsidRPr="00687C91" w:rsidRDefault="00AE1C7D" w:rsidP="008E027E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color w:val="000000"/>
          <w:sz w:val="24"/>
          <w:szCs w:val="19"/>
        </w:rPr>
        <w:t>if an existing barrier cannot reasonably be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removed, seek to ensure that persons who are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disabled by the barrier are provided access to the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good or service by alternate means, whether on a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temporary or permanent basis; and</w:t>
      </w:r>
    </w:p>
    <w:p w:rsidR="00AE1C7D" w:rsidRPr="00687C91" w:rsidRDefault="00AE1C7D" w:rsidP="008E027E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8E0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seek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to prevent new barriers from being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created.</w:t>
      </w:r>
    </w:p>
    <w:p w:rsidR="00AE1C7D" w:rsidRPr="00687C91" w:rsidRDefault="00AE1C7D" w:rsidP="00AE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687C9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4(3) </w:t>
      </w:r>
      <w:r w:rsidR="00C52279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proofErr w:type="gramStart"/>
      <w:r w:rsidRPr="00687C91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687C91">
        <w:rPr>
          <w:rFonts w:ascii="Arial" w:hAnsi="Arial" w:cs="Arial"/>
          <w:color w:val="000000"/>
          <w:sz w:val="24"/>
          <w:szCs w:val="19"/>
        </w:rPr>
        <w:t xml:space="preserve"> organization's actions must be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consistent with the purposes and principles of the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Act and its obligations — including the obligation to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make reasonable accommodations — under The</w:t>
      </w:r>
      <w:r w:rsidR="00AE1C7D" w:rsidRPr="00687C91">
        <w:rPr>
          <w:rFonts w:ascii="Arial" w:hAnsi="Arial" w:cs="Arial"/>
          <w:color w:val="000000"/>
          <w:sz w:val="24"/>
          <w:szCs w:val="19"/>
        </w:rPr>
        <w:t xml:space="preserve"> </w:t>
      </w:r>
      <w:r w:rsidRPr="00687C91">
        <w:rPr>
          <w:rFonts w:ascii="Arial" w:hAnsi="Arial" w:cs="Arial"/>
          <w:color w:val="000000"/>
          <w:sz w:val="24"/>
          <w:szCs w:val="19"/>
        </w:rPr>
        <w:t>Human Rights Code.</w:t>
      </w:r>
    </w:p>
    <w:p w:rsidR="00AE1C7D" w:rsidRDefault="00AE1C7D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AE1C7D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Communications</w:t>
      </w:r>
    </w:p>
    <w:p w:rsidR="00AE1C7D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5 </w:t>
      </w:r>
      <w:r w:rsidR="00C52279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In its measures, policies and practices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under section 4, an organization must make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reasonable efforts to ensure that, when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communicating with a person who self-identifies as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being disabled by a barrier, the communication is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done in a manner that takes into account the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barrier.</w:t>
      </w:r>
    </w:p>
    <w:p w:rsidR="00E64F46" w:rsidRDefault="00E64F46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E64F46" w:rsidRDefault="00E64F46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E64F46" w:rsidRPr="00BB1832" w:rsidRDefault="00E64F46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C52279" w:rsidRPr="00687C91" w:rsidRDefault="00C5227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lastRenderedPageBreak/>
        <w:t>Assistive devices</w:t>
      </w: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6 </w:t>
      </w:r>
      <w:r w:rsidR="00C52279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An organization's policies under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section 4 must recognize that a person who is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disabled by a barrier may use assistive devices to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remove or reduce the barrier, and the measures and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practices that the organization implements must</w:t>
      </w:r>
      <w:r w:rsidR="00AE1C7D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reasonably accommodate the use of those devices.</w:t>
      </w:r>
    </w:p>
    <w:p w:rsidR="00C52279" w:rsidRDefault="00C52279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Support persons</w:t>
      </w:r>
    </w:p>
    <w:p w:rsidR="00955EA4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7(1)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C52279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An organization's policies under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section 4 must recognize that a person who is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disabled by a barrier may be accompanied by a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support person when seeking to obtain, use or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benefit from the organization's good or service.</w:t>
      </w:r>
    </w:p>
    <w:p w:rsidR="00C52279" w:rsidRDefault="00C52279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7(2)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560C58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If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the organization provides its goods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and services at a particular premises, its measures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and practices under section 4 must recognize that</w:t>
      </w:r>
    </w:p>
    <w:p w:rsidR="00955EA4" w:rsidRPr="008F3D88" w:rsidRDefault="00955EA4" w:rsidP="00560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the person disabled by a barrier and his or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her support person ought to be permitted to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enter the premises together; and</w:t>
      </w:r>
    </w:p>
    <w:p w:rsidR="00560C58" w:rsidRPr="008F3D88" w:rsidRDefault="00560C58" w:rsidP="00560C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560C58" w:rsidRPr="008F3D88" w:rsidRDefault="00955EA4" w:rsidP="00560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the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person disabled by the barrier ought to be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able to have access to the support person at all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times while on the premises.</w:t>
      </w:r>
    </w:p>
    <w:p w:rsidR="00560C5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C52279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7(3) </w:t>
      </w:r>
      <w:r w:rsidR="00560C58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If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a support person is required to pay an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amount to be admitted to or present at its premises,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the organization must ensure that advanced notice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is given of the amount payable in respect of the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support person, if any.</w:t>
      </w:r>
    </w:p>
    <w:p w:rsidR="004C3A95" w:rsidRDefault="004C3A95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Service animals</w:t>
      </w:r>
    </w:p>
    <w:p w:rsidR="00560C58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8</w:t>
      </w:r>
      <w:r w:rsidR="00560C58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 organization's policies under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section 4 must recognize that a person who is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disabled by a barrier may be accompanied by a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service animal when he or she seeks to obtain, use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 benefit from the organization's good or service.</w:t>
      </w:r>
    </w:p>
    <w:p w:rsidR="004C3A95" w:rsidRDefault="004C3A95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Built environment</w:t>
      </w: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9(1) </w:t>
      </w:r>
      <w:r w:rsidR="00560C58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An organization must ensure that its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measures, policies and practices under section 4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include a requirement that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(a) any aspect of its built environment intended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to facilitate barrier-free access to the goods or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services it provides are available for use in the</w:t>
      </w:r>
      <w:r w:rsidR="00C52279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intended manner; and</w:t>
      </w:r>
    </w:p>
    <w:p w:rsidR="00560C58" w:rsidRPr="008F3D8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207C07" w:rsidRPr="008F3D88" w:rsidRDefault="00560C58" w:rsidP="00955E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any aspect of its built environment intended to facilitate barrier-free access to the goods or services it provides are available for use in the intended manner; and</w:t>
      </w:r>
    </w:p>
    <w:p w:rsidR="00207C07" w:rsidRPr="008F3D88" w:rsidRDefault="00207C07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560C58" w:rsidRPr="008F3D88" w:rsidRDefault="00955EA4" w:rsidP="00955E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if such an aspect is unavailable for use, notice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of the following be given:</w:t>
      </w:r>
    </w:p>
    <w:p w:rsidR="00560C58" w:rsidRPr="008F3D88" w:rsidRDefault="00560C58" w:rsidP="00560C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560C58" w:rsidRPr="008F3D88" w:rsidRDefault="00560C58" w:rsidP="00850D96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 xml:space="preserve">(i) </w:t>
      </w:r>
      <w:proofErr w:type="gramStart"/>
      <w:r w:rsidR="00955EA4" w:rsidRPr="008F3D88">
        <w:rPr>
          <w:rFonts w:ascii="Arial" w:hAnsi="Arial" w:cs="Arial"/>
          <w:color w:val="000000"/>
          <w:sz w:val="24"/>
          <w:szCs w:val="19"/>
        </w:rPr>
        <w:t>the</w:t>
      </w:r>
      <w:proofErr w:type="gramEnd"/>
      <w:r w:rsidR="00955EA4" w:rsidRPr="008F3D88">
        <w:rPr>
          <w:rFonts w:ascii="Arial" w:hAnsi="Arial" w:cs="Arial"/>
          <w:color w:val="000000"/>
          <w:sz w:val="24"/>
          <w:szCs w:val="19"/>
        </w:rPr>
        <w:t xml:space="preserve"> reasons why the aspect is unavailable</w:t>
      </w:r>
      <w:r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="00955EA4" w:rsidRPr="008F3D88">
        <w:rPr>
          <w:rFonts w:ascii="Arial" w:hAnsi="Arial" w:cs="Arial"/>
          <w:color w:val="000000"/>
          <w:sz w:val="24"/>
          <w:szCs w:val="19"/>
        </w:rPr>
        <w:t>and an estimate of when the unavailability</w:t>
      </w:r>
      <w:r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="00955EA4" w:rsidRPr="008F3D88">
        <w:rPr>
          <w:rFonts w:ascii="Arial" w:hAnsi="Arial" w:cs="Arial"/>
          <w:color w:val="000000"/>
          <w:sz w:val="24"/>
          <w:szCs w:val="19"/>
        </w:rPr>
        <w:t>will cease,</w:t>
      </w:r>
    </w:p>
    <w:p w:rsidR="00207C07" w:rsidRPr="00207C07" w:rsidRDefault="00207C07" w:rsidP="00850D96">
      <w:pPr>
        <w:autoSpaceDE w:val="0"/>
        <w:autoSpaceDN w:val="0"/>
        <w:adjustRightInd w:val="0"/>
        <w:spacing w:after="0" w:line="240" w:lineRule="auto"/>
        <w:ind w:left="851"/>
        <w:rPr>
          <w:rFonts w:ascii="BookmanITCLtBT" w:hAnsi="BookmanITCLtBT" w:cs="BookmanITCLtBT"/>
          <w:color w:val="000000"/>
          <w:sz w:val="19"/>
          <w:szCs w:val="19"/>
        </w:rPr>
      </w:pPr>
    </w:p>
    <w:p w:rsidR="00560C58" w:rsidRPr="00560C58" w:rsidRDefault="00955EA4" w:rsidP="008F3D88">
      <w:pPr>
        <w:autoSpaceDE w:val="0"/>
        <w:autoSpaceDN w:val="0"/>
        <w:adjustRightInd w:val="0"/>
        <w:spacing w:after="0" w:line="240" w:lineRule="auto"/>
        <w:ind w:left="720"/>
        <w:rPr>
          <w:rFonts w:ascii="BookmanITCLtBT" w:hAnsi="BookmanITCLtBT" w:cs="BookmanITCLtBT"/>
          <w:color w:val="000000"/>
          <w:sz w:val="19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lastRenderedPageBreak/>
        <w:t xml:space="preserve">(ii) </w:t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details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of alternate means, if any,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available to access the organization's goods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 services.</w:t>
      </w:r>
    </w:p>
    <w:p w:rsidR="00560C58" w:rsidRPr="00207C07" w:rsidRDefault="00560C58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560C58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9(2)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560C58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organization's policies must provide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that a notice under subsection (1) be prominently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displayed on the applicable premises and on the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organization's website, if any, or be given by other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means that are reasonable in the circumstances.</w:t>
      </w:r>
    </w:p>
    <w:p w:rsidR="00560C58" w:rsidRPr="00560C5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Feedback re accessible customer service</w:t>
      </w: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10</w:t>
      </w:r>
      <w:r w:rsidR="00560C58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 xml:space="preserve"> In its measures, policies and practices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under section 4, an organization must make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reasonable efforts to ensure that it provides a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process for</w:t>
      </w:r>
    </w:p>
    <w:p w:rsidR="00560C58" w:rsidRPr="008F3D8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560C58" w:rsidRPr="008F3D88" w:rsidRDefault="00955EA4" w:rsidP="00D47D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(a) receiving and responding to feedback about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the accessibility of its goods or services in a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manner that is appropriate in the circumstances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and is suitable for persons who are disabled by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barriers; and</w:t>
      </w:r>
    </w:p>
    <w:p w:rsidR="00560C58" w:rsidRPr="008F3D88" w:rsidRDefault="00560C58" w:rsidP="00D47D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19"/>
        </w:rPr>
      </w:pPr>
    </w:p>
    <w:p w:rsidR="00560C58" w:rsidRPr="008F3D88" w:rsidRDefault="00560C58" w:rsidP="00D47D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 xml:space="preserve">(b) </w:t>
      </w:r>
      <w:proofErr w:type="gramStart"/>
      <w:r w:rsidR="00955EA4" w:rsidRPr="008F3D88">
        <w:rPr>
          <w:rFonts w:ascii="Arial" w:hAnsi="Arial" w:cs="Arial"/>
          <w:color w:val="000000"/>
          <w:sz w:val="24"/>
          <w:szCs w:val="19"/>
        </w:rPr>
        <w:t>documenting</w:t>
      </w:r>
      <w:proofErr w:type="gramEnd"/>
      <w:r w:rsidR="00955EA4" w:rsidRPr="008F3D88">
        <w:rPr>
          <w:rFonts w:ascii="Arial" w:hAnsi="Arial" w:cs="Arial"/>
          <w:color w:val="000000"/>
          <w:sz w:val="24"/>
          <w:szCs w:val="19"/>
        </w:rPr>
        <w:t xml:space="preserve"> its resulting actions, and</w:t>
      </w:r>
      <w:r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="00955EA4" w:rsidRPr="008F3D88">
        <w:rPr>
          <w:rFonts w:ascii="Arial" w:hAnsi="Arial" w:cs="Arial"/>
          <w:color w:val="000000"/>
          <w:sz w:val="24"/>
          <w:szCs w:val="19"/>
        </w:rPr>
        <w:t>making that documentation available on request.</w:t>
      </w:r>
    </w:p>
    <w:p w:rsidR="00560C5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proofErr w:type="gramStart"/>
      <w:r w:rsidRPr="00687C91">
        <w:rPr>
          <w:rFonts w:ascii="Arial" w:hAnsi="Arial" w:cs="Arial"/>
          <w:b/>
          <w:i w:val="0"/>
          <w:color w:val="auto"/>
          <w:sz w:val="28"/>
        </w:rPr>
        <w:t>Documentation re measures, etc.</w:t>
      </w:r>
      <w:proofErr w:type="gramEnd"/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11(1)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560C58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Subject to subsection (4), an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organization must</w:t>
      </w:r>
    </w:p>
    <w:p w:rsidR="00207C07" w:rsidRPr="008F3D88" w:rsidRDefault="00207C07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8F3D88" w:rsidRDefault="00955EA4" w:rsidP="008F3D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document the measures, policies and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practices it establishes and implements under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section 4, and must provide a copy of the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documentation on request; and</w:t>
      </w:r>
    </w:p>
    <w:p w:rsidR="008F3D88" w:rsidRDefault="008F3D88" w:rsidP="008F3D8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207C07" w:rsidRPr="008F3D88" w:rsidRDefault="00955EA4" w:rsidP="008F3D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provide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notice that the documentation is</w:t>
      </w:r>
      <w:r w:rsidR="00560C58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available on request.</w:t>
      </w:r>
    </w:p>
    <w:p w:rsidR="00560C58" w:rsidRDefault="00560C58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014081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11(2) </w:t>
      </w:r>
      <w:r w:rsidR="00560C58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>The notice under clause (1</w:t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)(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>b) must be</w:t>
      </w:r>
      <w:r w:rsidR="00207C07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prominently displayed on the applicable premises</w:t>
      </w:r>
      <w:r w:rsidR="00207C07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and on the organization's website, if any, or be given</w:t>
      </w:r>
      <w:r w:rsidR="00207C07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by other means that are reasonable in the</w:t>
      </w:r>
      <w:r w:rsidR="00014081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circumstances.</w:t>
      </w:r>
    </w:p>
    <w:p w:rsidR="00087F0F" w:rsidRPr="00014081" w:rsidRDefault="00087F0F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11(3)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216C5E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If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the documentation is requested by a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person who is disabled by a barrier, the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organization must ensure that the documentation or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the information contained in it is given to the person</w:t>
      </w:r>
    </w:p>
    <w:p w:rsidR="00216C5E" w:rsidRPr="008F3D88" w:rsidRDefault="00216C5E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216C5E" w:rsidRPr="008F3D88" w:rsidRDefault="00955EA4" w:rsidP="00087F0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in a manner that takes into account the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barrier; and</w:t>
      </w:r>
    </w:p>
    <w:p w:rsidR="00216C5E" w:rsidRPr="008F3D88" w:rsidRDefault="00216C5E" w:rsidP="00087F0F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216C5E" w:rsidRPr="008F3D88" w:rsidRDefault="00955EA4" w:rsidP="00087F0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within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a reasonable time and at no cost to the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person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>.</w:t>
      </w:r>
    </w:p>
    <w:p w:rsidR="00216C5E" w:rsidRDefault="00216C5E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11(4)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216C5E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organization that is subject to this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regulation by operation of clause 3(c) is subject to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this section only if it has 20 or more employees in</w:t>
      </w:r>
      <w:r w:rsid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Manitoba.</w:t>
      </w:r>
    </w:p>
    <w:p w:rsidR="00216C5E" w:rsidRPr="00687C91" w:rsidRDefault="00216C5E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Compliance</w:t>
      </w:r>
    </w:p>
    <w:p w:rsidR="00216C5E" w:rsidRPr="00216C5E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12</w:t>
      </w:r>
      <w:r w:rsidR="00850D96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r w:rsidRPr="008F3D88">
        <w:rPr>
          <w:rFonts w:ascii="Arial" w:hAnsi="Arial" w:cs="Arial"/>
          <w:color w:val="000000"/>
          <w:sz w:val="24"/>
          <w:szCs w:val="19"/>
        </w:rPr>
        <w:t xml:space="preserve"> An organization must comply with the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measures, policies and practices that it establishes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and implements under section 4.</w:t>
      </w:r>
    </w:p>
    <w:p w:rsidR="00216C5E" w:rsidRPr="00216C5E" w:rsidRDefault="00216C5E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216C5E" w:rsidRPr="003A5FF5" w:rsidRDefault="00955EA4" w:rsidP="00687C91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24"/>
          <w:szCs w:val="24"/>
        </w:rPr>
      </w:pPr>
      <w:r w:rsidRPr="003A5FF5">
        <w:rPr>
          <w:rFonts w:ascii="BookmanITCLtBT" w:hAnsi="BookmanITCLtBT" w:cs="BookmanITCLtBT"/>
          <w:color w:val="000000"/>
          <w:sz w:val="24"/>
          <w:szCs w:val="24"/>
        </w:rPr>
        <w:lastRenderedPageBreak/>
        <w:t>TRAINING</w:t>
      </w: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Training for staff</w:t>
      </w:r>
    </w:p>
    <w:p w:rsidR="00955EA4" w:rsidRPr="008F3D88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13(1)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216C5E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organization must ensure that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training about accessible customer service is or has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been provided to the following persons:</w:t>
      </w:r>
    </w:p>
    <w:p w:rsidR="00216C5E" w:rsidRPr="008F3D88" w:rsidRDefault="00216C5E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850D96" w:rsidRPr="008F3D88" w:rsidRDefault="00955EA4" w:rsidP="00087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77"/>
        <w:rPr>
          <w:rFonts w:ascii="Arial" w:hAnsi="Arial" w:cs="Arial"/>
          <w:color w:val="000000"/>
          <w:sz w:val="24"/>
          <w:szCs w:val="19"/>
        </w:rPr>
      </w:pPr>
      <w:r w:rsidRPr="008F3D88">
        <w:rPr>
          <w:rFonts w:ascii="Arial" w:hAnsi="Arial" w:cs="Arial"/>
          <w:color w:val="000000"/>
          <w:sz w:val="24"/>
          <w:szCs w:val="19"/>
        </w:rPr>
        <w:t>a person who provides goods or services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directly to the public or to another organization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in Manitoba on behalf of the organization,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including employees, agents and volunteers;</w:t>
      </w:r>
    </w:p>
    <w:p w:rsidR="00216C5E" w:rsidRPr="008F3D88" w:rsidRDefault="00216C5E" w:rsidP="00087F0F">
      <w:pPr>
        <w:autoSpaceDE w:val="0"/>
        <w:autoSpaceDN w:val="0"/>
        <w:adjustRightInd w:val="0"/>
        <w:spacing w:after="0" w:line="240" w:lineRule="auto"/>
        <w:ind w:left="426" w:hanging="77"/>
        <w:rPr>
          <w:rFonts w:ascii="Arial" w:hAnsi="Arial" w:cs="Arial"/>
          <w:color w:val="000000"/>
          <w:sz w:val="24"/>
          <w:szCs w:val="19"/>
        </w:rPr>
      </w:pPr>
    </w:p>
    <w:p w:rsidR="00850D96" w:rsidRPr="008F3D88" w:rsidRDefault="00955EA4" w:rsidP="00087F0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77"/>
        <w:rPr>
          <w:rFonts w:ascii="Arial" w:hAnsi="Arial" w:cs="Arial"/>
          <w:color w:val="000000"/>
          <w:sz w:val="24"/>
          <w:szCs w:val="19"/>
        </w:rPr>
      </w:pPr>
      <w:proofErr w:type="gramStart"/>
      <w:r w:rsidRPr="008F3D88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8F3D88">
        <w:rPr>
          <w:rFonts w:ascii="Arial" w:hAnsi="Arial" w:cs="Arial"/>
          <w:color w:val="000000"/>
          <w:sz w:val="24"/>
          <w:szCs w:val="19"/>
        </w:rPr>
        <w:t xml:space="preserve"> person who participates in or is responsible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for the development or implementation of the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organization's measures, policies and practices</w:t>
      </w:r>
      <w:r w:rsidR="00216C5E" w:rsidRPr="008F3D88">
        <w:rPr>
          <w:rFonts w:ascii="Arial" w:hAnsi="Arial" w:cs="Arial"/>
          <w:color w:val="000000"/>
          <w:sz w:val="24"/>
          <w:szCs w:val="19"/>
        </w:rPr>
        <w:t xml:space="preserve"> </w:t>
      </w:r>
      <w:r w:rsidRPr="008F3D88">
        <w:rPr>
          <w:rFonts w:ascii="Arial" w:hAnsi="Arial" w:cs="Arial"/>
          <w:color w:val="000000"/>
          <w:sz w:val="24"/>
          <w:szCs w:val="19"/>
        </w:rPr>
        <w:t>under section 4.</w:t>
      </w:r>
    </w:p>
    <w:p w:rsidR="00087F0F" w:rsidRPr="00216C5E" w:rsidRDefault="00087F0F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13(2)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850D96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The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training must include</w:t>
      </w:r>
    </w:p>
    <w:p w:rsidR="00216C5E" w:rsidRPr="00E64F46" w:rsidRDefault="00216C5E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216C5E" w:rsidRPr="00E64F46" w:rsidRDefault="00955EA4" w:rsidP="00216C5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instruction about</w:t>
      </w:r>
    </w:p>
    <w:p w:rsidR="00216C5E" w:rsidRPr="00E64F46" w:rsidRDefault="00216C5E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E64F46" w:rsidRDefault="00955EA4" w:rsidP="00087F0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 xml:space="preserve">(i) </w:t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how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to interact and communicate with</w:t>
      </w:r>
      <w:r w:rsidR="00216C5E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persons disabled by barriers,</w:t>
      </w:r>
    </w:p>
    <w:p w:rsidR="00216C5E" w:rsidRPr="00E64F46" w:rsidRDefault="00216C5E" w:rsidP="00087F0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</w:p>
    <w:p w:rsidR="00216C5E" w:rsidRPr="00E64F46" w:rsidRDefault="00955EA4" w:rsidP="00BB183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 xml:space="preserve">(ii) </w:t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how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to interact with persons disabled by</w:t>
      </w:r>
      <w:r w:rsidR="00216C5E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barriers who use an assistive device or</w:t>
      </w:r>
      <w:r w:rsidR="00216C5E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require the assistance of a support person or</w:t>
      </w:r>
      <w:r w:rsidR="00216C5E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service animal,</w:t>
      </w:r>
    </w:p>
    <w:p w:rsidR="00C21769" w:rsidRPr="00E64F46" w:rsidRDefault="00C2176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E64F46" w:rsidRDefault="00955EA4" w:rsidP="00D47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 xml:space="preserve">(iii) </w:t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how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to use any equipment or assistive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devices that may be available to assist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persons disabled by barriers, and</w:t>
      </w:r>
    </w:p>
    <w:p w:rsidR="00C21769" w:rsidRPr="00E64F46" w:rsidRDefault="00C21769" w:rsidP="00D47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</w:p>
    <w:p w:rsidR="00955EA4" w:rsidRPr="00E64F46" w:rsidRDefault="00955EA4" w:rsidP="00D47D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 xml:space="preserve">(iv) </w:t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what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to do if a person disabled by a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particular barrier is having difficulty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accessing a good or service; and</w:t>
      </w:r>
    </w:p>
    <w:p w:rsidR="00C21769" w:rsidRPr="00E64F46" w:rsidRDefault="00C2176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C21769" w:rsidRPr="00E64F46" w:rsidRDefault="00955EA4" w:rsidP="00955E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a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review of </w:t>
      </w:r>
      <w:r w:rsidRPr="00E64F46">
        <w:rPr>
          <w:rFonts w:ascii="Arial" w:hAnsi="Arial" w:cs="Arial"/>
          <w:i/>
          <w:color w:val="000000"/>
          <w:sz w:val="24"/>
          <w:szCs w:val="19"/>
        </w:rPr>
        <w:t>The Human Rights Code</w:t>
      </w:r>
      <w:r w:rsidRPr="00E64F46">
        <w:rPr>
          <w:rFonts w:ascii="Arial" w:hAnsi="Arial" w:cs="Arial"/>
          <w:color w:val="000000"/>
          <w:sz w:val="24"/>
          <w:szCs w:val="19"/>
        </w:rPr>
        <w:t>, the Act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and this regulation.</w:t>
      </w:r>
    </w:p>
    <w:p w:rsidR="00C21769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13(3)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C21769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organization must ensure that</w:t>
      </w:r>
    </w:p>
    <w:p w:rsidR="00C21769" w:rsidRPr="00E64F46" w:rsidRDefault="00C2176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6050B5" w:rsidRPr="00E64F46" w:rsidRDefault="00955EA4" w:rsidP="00087F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training is provided to a person as soon as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reasonably practicable after the person is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assigned the applicable duties; and</w:t>
      </w:r>
    </w:p>
    <w:p w:rsidR="00C21769" w:rsidRPr="00E64F46" w:rsidRDefault="00C21769" w:rsidP="00087F0F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C21769" w:rsidRPr="00E64F46" w:rsidRDefault="00955EA4" w:rsidP="00687C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on-going training is provided in connection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with changes to the organization's measures,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policies and practices respecting providing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barrier-free access to the goods or services it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provides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>.</w:t>
      </w:r>
    </w:p>
    <w:p w:rsidR="00687C91" w:rsidRPr="00687C91" w:rsidRDefault="00687C91" w:rsidP="00687C91">
      <w:pPr>
        <w:pStyle w:val="ListParagraph"/>
        <w:rPr>
          <w:rFonts w:ascii="BookmanITCLtBT" w:hAnsi="BookmanITCLtBT" w:cs="BookmanITCLtBT"/>
          <w:color w:val="000000"/>
          <w:sz w:val="19"/>
          <w:szCs w:val="19"/>
        </w:rPr>
      </w:pPr>
    </w:p>
    <w:p w:rsidR="00687C91" w:rsidRPr="00687C91" w:rsidRDefault="00687C91" w:rsidP="00687C9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Documentation re training</w:t>
      </w: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 xml:space="preserve">14(1) </w:t>
      </w:r>
      <w:r w:rsidR="00C21769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 w:rsidRPr="00E64F46">
        <w:rPr>
          <w:rFonts w:ascii="Arial" w:hAnsi="Arial" w:cs="Arial"/>
          <w:color w:val="000000"/>
          <w:sz w:val="24"/>
          <w:szCs w:val="19"/>
        </w:rPr>
        <w:t>Subject to subsection (2), an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organization must document its training policy,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including a summary of the content of the training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and when training is to be provided.</w:t>
      </w:r>
    </w:p>
    <w:p w:rsidR="00C21769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lastRenderedPageBreak/>
        <w:t>14(2)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C21769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organization that is subject to this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regulation by operation of clause 3(c) is subject to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subsection (1) only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if it has 20 or more employees </w:t>
      </w:r>
      <w:r w:rsidRPr="00E64F46">
        <w:rPr>
          <w:rFonts w:ascii="Arial" w:hAnsi="Arial" w:cs="Arial"/>
          <w:color w:val="000000"/>
          <w:sz w:val="24"/>
          <w:szCs w:val="19"/>
        </w:rPr>
        <w:t>in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Manitoba.</w:t>
      </w:r>
    </w:p>
    <w:p w:rsidR="00C21769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C21769" w:rsidRPr="00687C91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23"/>
          <w:szCs w:val="19"/>
        </w:rPr>
      </w:pPr>
    </w:p>
    <w:p w:rsidR="00C21769" w:rsidRPr="000E6B8F" w:rsidRDefault="00955EA4" w:rsidP="00014081">
      <w:pPr>
        <w:autoSpaceDE w:val="0"/>
        <w:autoSpaceDN w:val="0"/>
        <w:adjustRightInd w:val="0"/>
        <w:spacing w:after="0" w:line="240" w:lineRule="auto"/>
        <w:jc w:val="center"/>
        <w:rPr>
          <w:rFonts w:ascii="BookmanITCLtBT,Bold" w:hAnsi="BookmanITCLtBT,Bold" w:cs="BookmanITCLtBT,Bold"/>
          <w:b/>
          <w:bCs/>
          <w:color w:val="000000"/>
          <w:sz w:val="24"/>
          <w:szCs w:val="24"/>
        </w:rPr>
      </w:pPr>
      <w:r w:rsidRPr="000E6B8F">
        <w:rPr>
          <w:rFonts w:ascii="BookmanITCLtBT" w:hAnsi="BookmanITCLtBT" w:cs="BookmanITCLtBT"/>
          <w:color w:val="000000"/>
          <w:sz w:val="24"/>
          <w:szCs w:val="24"/>
        </w:rPr>
        <w:t>PUBLIC EVENTS</w:t>
      </w:r>
    </w:p>
    <w:p w:rsidR="00C21769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C21769" w:rsidRDefault="00C21769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Accessibility of public events</w:t>
      </w: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15(1)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C21769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organization that holds a public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event must take reasonable measures to ensure that</w:t>
      </w:r>
    </w:p>
    <w:p w:rsidR="00C21769" w:rsidRPr="00E64F46" w:rsidRDefault="00C2176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955EA4" w:rsidRPr="00E64F46" w:rsidRDefault="00955EA4" w:rsidP="00087F0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notice of the event is given in a manner that is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accessible to persons disabled by barriers;</w:t>
      </w:r>
    </w:p>
    <w:p w:rsidR="00C21769" w:rsidRPr="00E64F46" w:rsidRDefault="00C21769" w:rsidP="00087F0F">
      <w:p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C21769" w:rsidRPr="00E64F46" w:rsidRDefault="00955EA4" w:rsidP="00955E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the event is held in a meeting space that is</w:t>
      </w:r>
      <w:r w:rsidR="00C21769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>accessible;</w:t>
      </w:r>
    </w:p>
    <w:p w:rsidR="00C21769" w:rsidRPr="00E64F46" w:rsidRDefault="00C21769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6050B5" w:rsidRPr="00E64F46" w:rsidRDefault="00955EA4" w:rsidP="00087F0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the physical and communication needs of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persons disabled by barriers are met on request;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and</w:t>
      </w:r>
    </w:p>
    <w:p w:rsidR="006050B5" w:rsidRPr="00E64F46" w:rsidRDefault="006050B5" w:rsidP="00087F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</w:p>
    <w:p w:rsidR="006050B5" w:rsidRPr="00E64F46" w:rsidRDefault="00955EA4" w:rsidP="00087F0F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66"/>
        <w:rPr>
          <w:rFonts w:ascii="Arial" w:hAnsi="Arial" w:cs="Arial"/>
          <w:color w:val="000000"/>
          <w:sz w:val="24"/>
          <w:szCs w:val="19"/>
        </w:rPr>
      </w:pP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notice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is given that persons disabled by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barriers may request that relevant supports be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provided.</w:t>
      </w:r>
    </w:p>
    <w:p w:rsidR="006050B5" w:rsidRPr="006050B5" w:rsidRDefault="006050B5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955EA4" w:rsidRPr="006050B5" w:rsidRDefault="00955EA4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15(2)</w:t>
      </w:r>
      <w:r w:rsidRPr="006050B5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6050B5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In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subsection (1), a "</w:t>
      </w:r>
      <w:r w:rsidRPr="00E64F46">
        <w:rPr>
          <w:rFonts w:ascii="Arial" w:hAnsi="Arial" w:cs="Arial"/>
          <w:b/>
          <w:color w:val="000000"/>
          <w:sz w:val="24"/>
          <w:szCs w:val="19"/>
        </w:rPr>
        <w:t>public event</w:t>
      </w:r>
      <w:r w:rsidRPr="00E64F46">
        <w:rPr>
          <w:rFonts w:ascii="Arial" w:hAnsi="Arial" w:cs="Arial"/>
          <w:color w:val="000000"/>
          <w:sz w:val="24"/>
          <w:szCs w:val="19"/>
        </w:rPr>
        <w:t>"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includes a public meeting, a public hearing and a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consultation process required under an enactment.</w:t>
      </w:r>
    </w:p>
    <w:p w:rsidR="00087F0F" w:rsidRDefault="00087F0F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15(3)</w:t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="006050B5"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ab/>
      </w:r>
      <w:proofErr w:type="gramStart"/>
      <w:r w:rsidRPr="00E64F46">
        <w:rPr>
          <w:rFonts w:ascii="Arial" w:hAnsi="Arial" w:cs="Arial"/>
          <w:color w:val="000000"/>
          <w:sz w:val="24"/>
          <w:szCs w:val="19"/>
        </w:rPr>
        <w:t>An</w:t>
      </w:r>
      <w:proofErr w:type="gramEnd"/>
      <w:r w:rsidRPr="00E64F46">
        <w:rPr>
          <w:rFonts w:ascii="Arial" w:hAnsi="Arial" w:cs="Arial"/>
          <w:color w:val="000000"/>
          <w:sz w:val="24"/>
          <w:szCs w:val="19"/>
        </w:rPr>
        <w:t xml:space="preserve"> organization that is subject to this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regulation by operation of clause 3(c) is not subject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to this section.</w:t>
      </w:r>
    </w:p>
    <w:p w:rsidR="006050B5" w:rsidRPr="006050B5" w:rsidRDefault="006050B5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6050B5" w:rsidRPr="006050B5" w:rsidRDefault="006050B5" w:rsidP="00955EA4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p w:rsidR="006050B5" w:rsidRPr="00E64F46" w:rsidRDefault="00955EA4" w:rsidP="00687C91">
      <w:pPr>
        <w:autoSpaceDE w:val="0"/>
        <w:autoSpaceDN w:val="0"/>
        <w:adjustRightInd w:val="0"/>
        <w:spacing w:after="0" w:line="240" w:lineRule="auto"/>
        <w:jc w:val="center"/>
        <w:rPr>
          <w:rFonts w:ascii="BookmanITCLtBT" w:hAnsi="BookmanITCLtBT" w:cs="BookmanITCLtBT"/>
          <w:color w:val="000000"/>
          <w:sz w:val="24"/>
          <w:szCs w:val="24"/>
        </w:rPr>
      </w:pPr>
      <w:r w:rsidRPr="00E64F46">
        <w:rPr>
          <w:rFonts w:ascii="BookmanITCLtBT" w:hAnsi="BookmanITCLtBT" w:cs="BookmanITCLtBT"/>
          <w:color w:val="000000"/>
          <w:sz w:val="24"/>
          <w:szCs w:val="24"/>
        </w:rPr>
        <w:t>COMING INTO FORCE</w:t>
      </w:r>
    </w:p>
    <w:p w:rsidR="00955EA4" w:rsidRPr="00687C91" w:rsidRDefault="00955EA4" w:rsidP="00687C91">
      <w:pPr>
        <w:pStyle w:val="Subtitle"/>
        <w:rPr>
          <w:rFonts w:ascii="Arial" w:hAnsi="Arial" w:cs="Arial"/>
          <w:b/>
          <w:i w:val="0"/>
          <w:color w:val="auto"/>
          <w:sz w:val="28"/>
        </w:rPr>
      </w:pPr>
      <w:r w:rsidRPr="00687C91">
        <w:rPr>
          <w:rFonts w:ascii="Arial" w:hAnsi="Arial" w:cs="Arial"/>
          <w:b/>
          <w:i w:val="0"/>
          <w:color w:val="auto"/>
          <w:sz w:val="28"/>
        </w:rPr>
        <w:t>Coming into force</w:t>
      </w: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687C91">
        <w:rPr>
          <w:rFonts w:ascii="Arial" w:hAnsi="Arial" w:cs="Arial"/>
          <w:b/>
          <w:bCs/>
          <w:color w:val="000000"/>
          <w:sz w:val="24"/>
          <w:szCs w:val="19"/>
        </w:rPr>
        <w:t>16</w:t>
      </w:r>
      <w:r w:rsidR="006050B5" w:rsidRPr="00687C91">
        <w:rPr>
          <w:rFonts w:ascii="Arial" w:hAnsi="Arial" w:cs="Arial"/>
          <w:b/>
          <w:bCs/>
          <w:color w:val="000000"/>
          <w:sz w:val="24"/>
          <w:szCs w:val="19"/>
        </w:rPr>
        <w:tab/>
      </w:r>
      <w:r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>This regulation comes into force on</w:t>
      </w:r>
    </w:p>
    <w:p w:rsidR="00955EA4" w:rsidRPr="00E64F46" w:rsidRDefault="00955EA4" w:rsidP="00955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 w:rsidRPr="00E64F46">
        <w:rPr>
          <w:rFonts w:ascii="Arial" w:hAnsi="Arial" w:cs="Arial"/>
          <w:color w:val="000000"/>
          <w:sz w:val="24"/>
          <w:szCs w:val="19"/>
        </w:rPr>
        <w:t>November 1, 2015, or on the day it is registered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 </w:t>
      </w:r>
      <w:r w:rsidRPr="00E64F46">
        <w:rPr>
          <w:rFonts w:ascii="Arial" w:hAnsi="Arial" w:cs="Arial"/>
          <w:color w:val="000000"/>
          <w:sz w:val="24"/>
          <w:szCs w:val="19"/>
        </w:rPr>
        <w:t xml:space="preserve">under </w:t>
      </w:r>
      <w:r w:rsidRPr="00E64F46">
        <w:rPr>
          <w:rFonts w:ascii="Arial" w:hAnsi="Arial" w:cs="Arial"/>
          <w:i/>
          <w:color w:val="000000"/>
          <w:sz w:val="24"/>
          <w:szCs w:val="19"/>
        </w:rPr>
        <w:t>The Statutes and Regulations Act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, </w:t>
      </w:r>
      <w:r w:rsidRPr="00E64F46">
        <w:rPr>
          <w:rFonts w:ascii="Arial" w:hAnsi="Arial" w:cs="Arial"/>
          <w:color w:val="000000"/>
          <w:sz w:val="24"/>
          <w:szCs w:val="19"/>
        </w:rPr>
        <w:t>whicheve</w:t>
      </w:r>
      <w:r w:rsidR="006050B5" w:rsidRPr="00E64F46">
        <w:rPr>
          <w:rFonts w:ascii="Arial" w:hAnsi="Arial" w:cs="Arial"/>
          <w:color w:val="000000"/>
          <w:sz w:val="24"/>
          <w:szCs w:val="19"/>
        </w:rPr>
        <w:t xml:space="preserve">r </w:t>
      </w:r>
      <w:r w:rsidRPr="00E64F46">
        <w:rPr>
          <w:rFonts w:ascii="Arial" w:hAnsi="Arial" w:cs="Arial"/>
          <w:color w:val="000000"/>
          <w:sz w:val="24"/>
          <w:szCs w:val="19"/>
        </w:rPr>
        <w:t>is later.</w:t>
      </w:r>
    </w:p>
    <w:p w:rsidR="006050B5" w:rsidRPr="006050B5" w:rsidRDefault="006050B5" w:rsidP="00955EA4">
      <w:pPr>
        <w:autoSpaceDE w:val="0"/>
        <w:autoSpaceDN w:val="0"/>
        <w:adjustRightInd w:val="0"/>
        <w:spacing w:after="0" w:line="240" w:lineRule="auto"/>
        <w:rPr>
          <w:rFonts w:ascii="BookmanITCLtBT,Bold" w:hAnsi="BookmanITCLtBT,Bold" w:cs="BookmanITCLtBT,Bold"/>
          <w:b/>
          <w:bCs/>
          <w:color w:val="000000"/>
          <w:sz w:val="19"/>
          <w:szCs w:val="19"/>
        </w:rPr>
      </w:pPr>
    </w:p>
    <w:p w:rsidR="00BB27D8" w:rsidRPr="00687C91" w:rsidRDefault="00BB27D8" w:rsidP="00014081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color w:val="000000"/>
          <w:sz w:val="19"/>
          <w:szCs w:val="19"/>
        </w:rPr>
      </w:pPr>
    </w:p>
    <w:sectPr w:rsidR="00BB27D8" w:rsidRPr="00687C91" w:rsidSect="0001408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88" w:rsidRDefault="008F3D88" w:rsidP="00955EA4">
      <w:pPr>
        <w:spacing w:after="0" w:line="240" w:lineRule="auto"/>
      </w:pPr>
      <w:r>
        <w:separator/>
      </w:r>
    </w:p>
  </w:endnote>
  <w:endnote w:type="continuationSeparator" w:id="0">
    <w:p w:rsidR="008F3D88" w:rsidRDefault="008F3D88" w:rsidP="0095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Lt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584"/>
      <w:docPartObj>
        <w:docPartGallery w:val="Page Numbers (Bottom of Page)"/>
        <w:docPartUnique/>
      </w:docPartObj>
    </w:sdtPr>
    <w:sdtContent>
      <w:p w:rsidR="008F3D88" w:rsidRDefault="008F3D8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F3D88" w:rsidRDefault="008F3D88">
        <w:pPr>
          <w:pStyle w:val="Footer"/>
          <w:jc w:val="center"/>
        </w:pPr>
        <w:fldSimple w:instr=" PAGE    \* MERGEFORMAT ">
          <w:r w:rsidR="000E6B8F">
            <w:rPr>
              <w:noProof/>
            </w:rPr>
            <w:t>1</w:t>
          </w:r>
        </w:fldSimple>
      </w:p>
    </w:sdtContent>
  </w:sdt>
  <w:p w:rsidR="008F3D88" w:rsidRDefault="008F3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88" w:rsidRDefault="008F3D88" w:rsidP="00955EA4">
      <w:pPr>
        <w:spacing w:after="0" w:line="240" w:lineRule="auto"/>
      </w:pPr>
      <w:r>
        <w:separator/>
      </w:r>
    </w:p>
  </w:footnote>
  <w:footnote w:type="continuationSeparator" w:id="0">
    <w:p w:rsidR="008F3D88" w:rsidRDefault="008F3D88" w:rsidP="0095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FF7"/>
    <w:multiLevelType w:val="hybridMultilevel"/>
    <w:tmpl w:val="F77C0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401"/>
    <w:multiLevelType w:val="hybridMultilevel"/>
    <w:tmpl w:val="7DE2DA94"/>
    <w:lvl w:ilvl="0" w:tplc="0568D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45A"/>
    <w:multiLevelType w:val="hybridMultilevel"/>
    <w:tmpl w:val="989C3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E82"/>
    <w:multiLevelType w:val="hybridMultilevel"/>
    <w:tmpl w:val="21E6F682"/>
    <w:lvl w:ilvl="0" w:tplc="96421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82D"/>
    <w:multiLevelType w:val="hybridMultilevel"/>
    <w:tmpl w:val="1B027C70"/>
    <w:lvl w:ilvl="0" w:tplc="EE62E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712"/>
    <w:multiLevelType w:val="hybridMultilevel"/>
    <w:tmpl w:val="E30CFE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60D0"/>
    <w:multiLevelType w:val="hybridMultilevel"/>
    <w:tmpl w:val="2078DB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20B6"/>
    <w:multiLevelType w:val="hybridMultilevel"/>
    <w:tmpl w:val="23B67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3D36"/>
    <w:multiLevelType w:val="hybridMultilevel"/>
    <w:tmpl w:val="5AE097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577CE"/>
    <w:multiLevelType w:val="hybridMultilevel"/>
    <w:tmpl w:val="79A886E4"/>
    <w:lvl w:ilvl="0" w:tplc="4E663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5A9"/>
    <w:multiLevelType w:val="hybridMultilevel"/>
    <w:tmpl w:val="1F52E68A"/>
    <w:lvl w:ilvl="0" w:tplc="A080F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DDE"/>
    <w:multiLevelType w:val="hybridMultilevel"/>
    <w:tmpl w:val="4FD61E0C"/>
    <w:lvl w:ilvl="0" w:tplc="D0E8ED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5067"/>
    <w:multiLevelType w:val="hybridMultilevel"/>
    <w:tmpl w:val="F162E9C4"/>
    <w:lvl w:ilvl="0" w:tplc="F60CB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D539A"/>
    <w:multiLevelType w:val="hybridMultilevel"/>
    <w:tmpl w:val="227688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0B5"/>
    <w:multiLevelType w:val="hybridMultilevel"/>
    <w:tmpl w:val="CBCCD230"/>
    <w:lvl w:ilvl="0" w:tplc="93164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DDF"/>
    <w:multiLevelType w:val="hybridMultilevel"/>
    <w:tmpl w:val="6D98EF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A06C4"/>
    <w:multiLevelType w:val="hybridMultilevel"/>
    <w:tmpl w:val="07BAB8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0D9"/>
    <w:multiLevelType w:val="hybridMultilevel"/>
    <w:tmpl w:val="0D8CF69A"/>
    <w:lvl w:ilvl="0" w:tplc="9126D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26D46"/>
    <w:multiLevelType w:val="hybridMultilevel"/>
    <w:tmpl w:val="F500AA6C"/>
    <w:lvl w:ilvl="0" w:tplc="9306F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503E"/>
    <w:multiLevelType w:val="hybridMultilevel"/>
    <w:tmpl w:val="45FC68D6"/>
    <w:lvl w:ilvl="0" w:tplc="200CE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252E"/>
    <w:multiLevelType w:val="hybridMultilevel"/>
    <w:tmpl w:val="5DC6C7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15E70"/>
    <w:multiLevelType w:val="hybridMultilevel"/>
    <w:tmpl w:val="370057AC"/>
    <w:lvl w:ilvl="0" w:tplc="8CECA1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4E68"/>
    <w:multiLevelType w:val="hybridMultilevel"/>
    <w:tmpl w:val="540228FE"/>
    <w:lvl w:ilvl="0" w:tplc="9DCC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179FD"/>
    <w:multiLevelType w:val="hybridMultilevel"/>
    <w:tmpl w:val="F65E22F6"/>
    <w:lvl w:ilvl="0" w:tplc="F11C4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B5689"/>
    <w:multiLevelType w:val="hybridMultilevel"/>
    <w:tmpl w:val="68EC7E96"/>
    <w:lvl w:ilvl="0" w:tplc="1E5064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807E28"/>
    <w:multiLevelType w:val="hybridMultilevel"/>
    <w:tmpl w:val="E1A8889A"/>
    <w:lvl w:ilvl="0" w:tplc="AB428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9"/>
  </w:num>
  <w:num w:numId="5">
    <w:abstractNumId w:val="20"/>
  </w:num>
  <w:num w:numId="6">
    <w:abstractNumId w:val="23"/>
  </w:num>
  <w:num w:numId="7">
    <w:abstractNumId w:val="21"/>
  </w:num>
  <w:num w:numId="8">
    <w:abstractNumId w:val="12"/>
  </w:num>
  <w:num w:numId="9">
    <w:abstractNumId w:val="25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18"/>
  </w:num>
  <w:num w:numId="18">
    <w:abstractNumId w:val="17"/>
  </w:num>
  <w:num w:numId="19">
    <w:abstractNumId w:val="1"/>
  </w:num>
  <w:num w:numId="20">
    <w:abstractNumId w:val="0"/>
  </w:num>
  <w:num w:numId="21">
    <w:abstractNumId w:val="4"/>
  </w:num>
  <w:num w:numId="22">
    <w:abstractNumId w:val="9"/>
  </w:num>
  <w:num w:numId="23">
    <w:abstractNumId w:val="2"/>
  </w:num>
  <w:num w:numId="24">
    <w:abstractNumId w:val="10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A4"/>
    <w:rsid w:val="00014081"/>
    <w:rsid w:val="00087F0F"/>
    <w:rsid w:val="000E693B"/>
    <w:rsid w:val="000E6B8F"/>
    <w:rsid w:val="001905E7"/>
    <w:rsid w:val="001A1654"/>
    <w:rsid w:val="001A3365"/>
    <w:rsid w:val="00207C07"/>
    <w:rsid w:val="0021028D"/>
    <w:rsid w:val="00216C5E"/>
    <w:rsid w:val="002172BD"/>
    <w:rsid w:val="003A5FF5"/>
    <w:rsid w:val="003F1731"/>
    <w:rsid w:val="004023D4"/>
    <w:rsid w:val="004C3A95"/>
    <w:rsid w:val="0054444B"/>
    <w:rsid w:val="00560C58"/>
    <w:rsid w:val="005A313F"/>
    <w:rsid w:val="005C6DAF"/>
    <w:rsid w:val="006050B5"/>
    <w:rsid w:val="00687C91"/>
    <w:rsid w:val="007C4B75"/>
    <w:rsid w:val="00801991"/>
    <w:rsid w:val="00802E24"/>
    <w:rsid w:val="00850D96"/>
    <w:rsid w:val="008E027E"/>
    <w:rsid w:val="008F3D88"/>
    <w:rsid w:val="00932F55"/>
    <w:rsid w:val="00955EA4"/>
    <w:rsid w:val="00A94ACE"/>
    <w:rsid w:val="00AB1A74"/>
    <w:rsid w:val="00AD3B94"/>
    <w:rsid w:val="00AE1C7D"/>
    <w:rsid w:val="00BB1832"/>
    <w:rsid w:val="00BB27D8"/>
    <w:rsid w:val="00C21769"/>
    <w:rsid w:val="00C52279"/>
    <w:rsid w:val="00C92C32"/>
    <w:rsid w:val="00D21181"/>
    <w:rsid w:val="00D47DB2"/>
    <w:rsid w:val="00E64F46"/>
    <w:rsid w:val="00F0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A4"/>
  </w:style>
  <w:style w:type="paragraph" w:styleId="Footer">
    <w:name w:val="footer"/>
    <w:basedOn w:val="Normal"/>
    <w:link w:val="FooterChar"/>
    <w:uiPriority w:val="99"/>
    <w:unhideWhenUsed/>
    <w:rsid w:val="0095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A4"/>
  </w:style>
  <w:style w:type="paragraph" w:styleId="ListParagraph">
    <w:name w:val="List Paragraph"/>
    <w:basedOn w:val="Normal"/>
    <w:uiPriority w:val="34"/>
    <w:qFormat/>
    <w:rsid w:val="00932F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7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NGareauWil</dc:creator>
  <cp:lastModifiedBy>NGareauWil</cp:lastModifiedBy>
  <cp:revision>5</cp:revision>
  <dcterms:created xsi:type="dcterms:W3CDTF">2016-05-17T18:57:00Z</dcterms:created>
  <dcterms:modified xsi:type="dcterms:W3CDTF">2016-05-17T19:13:00Z</dcterms:modified>
</cp:coreProperties>
</file>